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CC3" w:rsidRPr="0097466F" w:rsidRDefault="00B47CC3" w:rsidP="0097466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7466F">
        <w:rPr>
          <w:rFonts w:ascii="Arial" w:hAnsi="Arial" w:cs="Arial"/>
          <w:b/>
          <w:sz w:val="20"/>
          <w:szCs w:val="20"/>
        </w:rPr>
        <w:t>Last-mile delivery: a reference plot to help non-pharmacometrician</w:t>
      </w:r>
      <w:r w:rsidR="0097466F" w:rsidRPr="0097466F">
        <w:rPr>
          <w:rFonts w:ascii="Arial" w:hAnsi="Arial" w:cs="Arial"/>
          <w:b/>
          <w:sz w:val="20"/>
          <w:szCs w:val="20"/>
        </w:rPr>
        <w:t>s</w:t>
      </w:r>
      <w:r w:rsidRPr="0097466F">
        <w:rPr>
          <w:rFonts w:ascii="Arial" w:hAnsi="Arial" w:cs="Arial"/>
          <w:b/>
          <w:sz w:val="20"/>
          <w:szCs w:val="20"/>
        </w:rPr>
        <w:t xml:space="preserve"> interpret population pharmacokinetics results</w:t>
      </w:r>
    </w:p>
    <w:p w:rsidR="00B47CC3" w:rsidRPr="0097466F" w:rsidRDefault="00B47CC3" w:rsidP="0097466F">
      <w:pPr>
        <w:spacing w:after="0"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97466F">
        <w:rPr>
          <w:rFonts w:ascii="Arial" w:hAnsi="Arial" w:cs="Arial"/>
          <w:sz w:val="20"/>
          <w:szCs w:val="20"/>
        </w:rPr>
        <w:t>Qingfeng He</w:t>
      </w:r>
      <w:proofErr w:type="gramStart"/>
      <w:r w:rsidRPr="0097466F">
        <w:rPr>
          <w:rFonts w:ascii="Arial" w:hAnsi="Arial" w:cs="Arial"/>
          <w:sz w:val="20"/>
          <w:szCs w:val="20"/>
          <w:vertAlign w:val="superscript"/>
        </w:rPr>
        <w:t>1,†</w:t>
      </w:r>
      <w:proofErr w:type="gramEnd"/>
      <w:r w:rsidRPr="009746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7466F">
        <w:rPr>
          <w:rFonts w:ascii="Arial" w:hAnsi="Arial" w:cs="Arial"/>
          <w:sz w:val="20"/>
          <w:szCs w:val="20"/>
        </w:rPr>
        <w:t>Xiaoqiang</w:t>
      </w:r>
      <w:proofErr w:type="spellEnd"/>
      <w:r w:rsidRPr="0097466F">
        <w:rPr>
          <w:rFonts w:ascii="Arial" w:hAnsi="Arial" w:cs="Arial"/>
          <w:sz w:val="20"/>
          <w:szCs w:val="20"/>
        </w:rPr>
        <w:t xml:space="preserve"> Xiang</w:t>
      </w:r>
      <w:r w:rsidRPr="0097466F">
        <w:rPr>
          <w:rFonts w:ascii="Arial" w:hAnsi="Arial" w:cs="Arial"/>
          <w:sz w:val="20"/>
          <w:szCs w:val="20"/>
          <w:vertAlign w:val="superscript"/>
        </w:rPr>
        <w:t>1,†</w:t>
      </w:r>
      <w:r w:rsidRPr="009746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7466F">
        <w:rPr>
          <w:rFonts w:ascii="Arial" w:hAnsi="Arial" w:cs="Arial"/>
          <w:sz w:val="20"/>
          <w:szCs w:val="20"/>
        </w:rPr>
        <w:t>Weimin</w:t>
      </w:r>
      <w:proofErr w:type="spellEnd"/>
      <w:r w:rsidRPr="0097466F">
        <w:rPr>
          <w:rFonts w:ascii="Arial" w:hAnsi="Arial" w:cs="Arial"/>
          <w:sz w:val="20"/>
          <w:szCs w:val="20"/>
        </w:rPr>
        <w:t xml:space="preserve"> Cai</w:t>
      </w:r>
      <w:r w:rsidRPr="0097466F">
        <w:rPr>
          <w:rFonts w:ascii="Arial" w:hAnsi="Arial" w:cs="Arial"/>
          <w:sz w:val="20"/>
          <w:szCs w:val="20"/>
          <w:vertAlign w:val="superscript"/>
        </w:rPr>
        <w:t>1</w:t>
      </w:r>
      <w:r w:rsidRPr="0097466F">
        <w:rPr>
          <w:rFonts w:ascii="Arial" w:hAnsi="Arial" w:cs="Arial"/>
          <w:sz w:val="20"/>
          <w:szCs w:val="20"/>
        </w:rPr>
        <w:t>, Xiao Zhu</w:t>
      </w:r>
      <w:r w:rsidRPr="0097466F">
        <w:rPr>
          <w:rFonts w:ascii="Arial" w:hAnsi="Arial" w:cs="Arial"/>
          <w:sz w:val="20"/>
          <w:szCs w:val="20"/>
          <w:vertAlign w:val="superscript"/>
        </w:rPr>
        <w:t>1,*</w:t>
      </w:r>
    </w:p>
    <w:p w:rsidR="00B47CC3" w:rsidRPr="00B901AE" w:rsidRDefault="00B47CC3" w:rsidP="00625B37">
      <w:pPr>
        <w:spacing w:after="0" w:line="36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B901AE">
        <w:rPr>
          <w:rFonts w:ascii="Arial" w:hAnsi="Arial" w:cs="Arial"/>
          <w:sz w:val="20"/>
          <w:szCs w:val="18"/>
          <w:vertAlign w:val="superscript"/>
          <w:lang w:val="en-US"/>
        </w:rPr>
        <w:t>1</w:t>
      </w:r>
      <w:r w:rsidRPr="00B901AE">
        <w:rPr>
          <w:rFonts w:ascii="Arial" w:hAnsi="Arial" w:cs="Arial"/>
          <w:sz w:val="20"/>
          <w:szCs w:val="18"/>
          <w:lang w:val="en-US"/>
        </w:rPr>
        <w:t>Department of Clinical Pharmacy and Pharmacy Administration, School of Pharmacy, Fudan University, S</w:t>
      </w:r>
      <w:r w:rsidR="00B901AE">
        <w:rPr>
          <w:rFonts w:ascii="Arial" w:hAnsi="Arial" w:cs="Arial"/>
          <w:sz w:val="20"/>
          <w:szCs w:val="18"/>
          <w:lang w:val="en-US"/>
        </w:rPr>
        <w:t>H, CN</w:t>
      </w:r>
      <w:r w:rsidRPr="00B901AE">
        <w:rPr>
          <w:rFonts w:ascii="Arial" w:hAnsi="Arial" w:cs="Arial"/>
          <w:sz w:val="20"/>
          <w:szCs w:val="18"/>
          <w:lang w:val="en-US"/>
        </w:rPr>
        <w:t xml:space="preserve"> </w:t>
      </w:r>
    </w:p>
    <w:p w:rsidR="00B47CC3" w:rsidRPr="0049288F" w:rsidRDefault="00B47CC3" w:rsidP="00B901AE">
      <w:pPr>
        <w:spacing w:afterLines="100" w:after="240" w:line="240" w:lineRule="auto"/>
        <w:rPr>
          <w:rFonts w:ascii="Arial" w:eastAsia="宋体" w:hAnsi="Arial" w:cs="Arial"/>
          <w:b/>
          <w:sz w:val="20"/>
          <w:szCs w:val="20"/>
        </w:rPr>
      </w:pPr>
      <w:r w:rsidRPr="0097466F">
        <w:rPr>
          <w:rFonts w:ascii="Arial" w:eastAsia="宋体" w:hAnsi="Arial" w:cs="Arial"/>
          <w:b/>
          <w:sz w:val="20"/>
          <w:szCs w:val="20"/>
        </w:rPr>
        <w:t>BACKGROUND</w:t>
      </w:r>
      <w:r w:rsidR="0049288F">
        <w:rPr>
          <w:rFonts w:ascii="Arial" w:eastAsia="宋体" w:hAnsi="Arial" w:cs="Arial" w:hint="eastAsia"/>
          <w:b/>
          <w:sz w:val="20"/>
          <w:szCs w:val="20"/>
        </w:rPr>
        <w:t>:</w:t>
      </w:r>
      <w:r w:rsidR="0049288F">
        <w:rPr>
          <w:rFonts w:ascii="Arial" w:eastAsia="宋体" w:hAnsi="Arial" w:cs="Arial"/>
          <w:b/>
          <w:sz w:val="20"/>
          <w:szCs w:val="20"/>
        </w:rPr>
        <w:t xml:space="preserve"> </w:t>
      </w:r>
      <w:r w:rsidRPr="0097466F">
        <w:rPr>
          <w:rFonts w:ascii="Arial" w:eastAsia="宋体" w:hAnsi="Arial" w:cs="Arial"/>
          <w:sz w:val="20"/>
          <w:szCs w:val="20"/>
          <w:lang w:val="en-AU" w:eastAsia="en-US"/>
        </w:rPr>
        <w:t xml:space="preserve">Although pharmacometricians have put great efforts into transitioning the </w:t>
      </w:r>
      <w:proofErr w:type="spellStart"/>
      <w:r w:rsidRPr="0097466F">
        <w:rPr>
          <w:rFonts w:ascii="Arial" w:eastAsia="宋体" w:hAnsi="Arial" w:cs="Arial"/>
          <w:sz w:val="20"/>
          <w:szCs w:val="20"/>
          <w:lang w:val="en-AU" w:eastAsia="en-US"/>
        </w:rPr>
        <w:t>modeling</w:t>
      </w:r>
      <w:proofErr w:type="spellEnd"/>
      <w:r w:rsidRPr="0097466F">
        <w:rPr>
          <w:rFonts w:ascii="Arial" w:eastAsia="宋体" w:hAnsi="Arial" w:cs="Arial"/>
          <w:sz w:val="20"/>
          <w:szCs w:val="20"/>
          <w:lang w:val="en-AU" w:eastAsia="en-US"/>
        </w:rPr>
        <w:t xml:space="preserve"> results via simulations to facilitate the appropriate dosing, there is still a knowledge gap for frontline practitioners to understand the raw results from population pharmacokinetics (PopPK) analysis and subsequently make a meaningful interpretation to guide clinical practice. A practical tool is warranted to fill up the gap, facilitating the last-mile delivery of </w:t>
      </w:r>
      <w:proofErr w:type="spellStart"/>
      <w:r w:rsidRPr="0097466F">
        <w:rPr>
          <w:rFonts w:ascii="Arial" w:eastAsia="宋体" w:hAnsi="Arial" w:cs="Arial"/>
          <w:sz w:val="20"/>
          <w:szCs w:val="20"/>
          <w:lang w:val="en-AU" w:eastAsia="en-US"/>
        </w:rPr>
        <w:t>modeling</w:t>
      </w:r>
      <w:proofErr w:type="spellEnd"/>
      <w:r w:rsidRPr="0097466F">
        <w:rPr>
          <w:rFonts w:ascii="Arial" w:eastAsia="宋体" w:hAnsi="Arial" w:cs="Arial"/>
          <w:sz w:val="20"/>
          <w:szCs w:val="20"/>
          <w:lang w:val="en-AU" w:eastAsia="en-US"/>
        </w:rPr>
        <w:t xml:space="preserve"> results to clinicians and clinical pharmacologists (especially those without pharmacometrics background). </w:t>
      </w:r>
    </w:p>
    <w:p w:rsidR="00B47CC3" w:rsidRPr="0049288F" w:rsidRDefault="00B47CC3" w:rsidP="00B901AE">
      <w:pPr>
        <w:spacing w:afterLines="100" w:after="240" w:line="240" w:lineRule="auto"/>
        <w:rPr>
          <w:rFonts w:ascii="Arial" w:eastAsia="宋体" w:hAnsi="Arial" w:cs="Arial"/>
          <w:sz w:val="20"/>
          <w:szCs w:val="20"/>
          <w:lang w:val="en-AU" w:eastAsia="en-US"/>
        </w:rPr>
      </w:pPr>
      <w:r w:rsidRPr="0097466F">
        <w:rPr>
          <w:rFonts w:ascii="Arial" w:eastAsia="宋体" w:hAnsi="Arial" w:cs="Arial"/>
          <w:b/>
          <w:sz w:val="20"/>
          <w:szCs w:val="20"/>
        </w:rPr>
        <w:t>OBJECTIVES</w:t>
      </w:r>
      <w:r w:rsidR="0049288F">
        <w:rPr>
          <w:rFonts w:ascii="Arial" w:eastAsia="宋体" w:hAnsi="Arial" w:cs="Arial" w:hint="eastAsia"/>
          <w:b/>
          <w:sz w:val="20"/>
          <w:szCs w:val="20"/>
        </w:rPr>
        <w:t>:</w:t>
      </w:r>
      <w:r w:rsidR="0049288F">
        <w:rPr>
          <w:rFonts w:ascii="Arial" w:eastAsia="宋体" w:hAnsi="Arial" w:cs="Arial"/>
          <w:b/>
          <w:sz w:val="20"/>
          <w:szCs w:val="20"/>
        </w:rPr>
        <w:t xml:space="preserve"> </w:t>
      </w:r>
      <w:r w:rsidRPr="0097466F">
        <w:rPr>
          <w:rFonts w:ascii="Arial" w:eastAsia="宋体" w:hAnsi="Arial" w:cs="Arial"/>
          <w:sz w:val="20"/>
          <w:szCs w:val="20"/>
          <w:lang w:val="en-AU" w:eastAsia="en-US"/>
        </w:rPr>
        <w:t>T</w:t>
      </w:r>
      <w:r w:rsidRPr="0097466F">
        <w:rPr>
          <w:rFonts w:ascii="Arial" w:eastAsia="宋体" w:hAnsi="Arial" w:cs="Arial"/>
          <w:sz w:val="20"/>
          <w:szCs w:val="20"/>
          <w:lang w:val="en-AU"/>
        </w:rPr>
        <w:t xml:space="preserve">he overarching aim of this study was </w:t>
      </w:r>
      <w:r w:rsidR="0049288F" w:rsidRPr="00B901AE">
        <w:rPr>
          <w:rFonts w:ascii="Arial" w:eastAsia="宋体" w:hAnsi="Arial" w:cs="Arial"/>
          <w:b/>
          <w:sz w:val="20"/>
          <w:szCs w:val="20"/>
          <w:lang w:val="en-AU"/>
        </w:rPr>
        <w:t>(</w:t>
      </w:r>
      <w:proofErr w:type="spellStart"/>
      <w:r w:rsidR="0049288F" w:rsidRPr="00B901AE">
        <w:rPr>
          <w:rFonts w:ascii="Arial" w:eastAsia="宋体" w:hAnsi="Arial" w:cs="Arial"/>
          <w:b/>
          <w:sz w:val="20"/>
          <w:szCs w:val="20"/>
          <w:lang w:val="en-AU"/>
        </w:rPr>
        <w:t>i</w:t>
      </w:r>
      <w:proofErr w:type="spellEnd"/>
      <w:r w:rsidR="0049288F" w:rsidRPr="00B901AE">
        <w:rPr>
          <w:rFonts w:ascii="Arial" w:eastAsia="宋体" w:hAnsi="Arial" w:cs="Arial"/>
          <w:b/>
          <w:sz w:val="20"/>
          <w:szCs w:val="20"/>
          <w:lang w:val="en-AU"/>
        </w:rPr>
        <w:t>)</w:t>
      </w:r>
      <w:r w:rsidR="0049288F">
        <w:rPr>
          <w:rFonts w:ascii="Arial" w:eastAsia="宋体" w:hAnsi="Arial" w:cs="Arial"/>
          <w:sz w:val="20"/>
          <w:szCs w:val="20"/>
          <w:lang w:val="en-AU"/>
        </w:rPr>
        <w:t xml:space="preserve"> </w:t>
      </w:r>
      <w:r w:rsidRPr="0097466F">
        <w:rPr>
          <w:rFonts w:ascii="Arial" w:eastAsia="宋体" w:hAnsi="Arial" w:cs="Arial"/>
          <w:sz w:val="20"/>
          <w:szCs w:val="20"/>
          <w:lang w:val="en-AU"/>
        </w:rPr>
        <w:t xml:space="preserve">to </w:t>
      </w:r>
      <w:r w:rsidRPr="0097466F">
        <w:rPr>
          <w:rFonts w:ascii="Arial" w:eastAsia="宋体" w:hAnsi="Arial" w:cs="Arial"/>
          <w:sz w:val="20"/>
          <w:szCs w:val="20"/>
          <w:lang w:val="en-AU" w:eastAsia="en-US"/>
        </w:rPr>
        <w:t>develop an interactive contour plot that links between-subject variability, therapeutic range, and probability of target attainment</w:t>
      </w:r>
      <w:r w:rsidR="00B901AE">
        <w:rPr>
          <w:rFonts w:ascii="Arial" w:eastAsia="宋体" w:hAnsi="Arial" w:cs="Arial"/>
          <w:sz w:val="20"/>
          <w:szCs w:val="20"/>
          <w:lang w:val="en-AU" w:eastAsia="en-US"/>
        </w:rPr>
        <w:t xml:space="preserve"> (PTA)</w:t>
      </w:r>
      <w:r w:rsidRPr="0097466F">
        <w:rPr>
          <w:rFonts w:ascii="Arial" w:eastAsia="宋体" w:hAnsi="Arial" w:cs="Arial"/>
          <w:sz w:val="20"/>
          <w:szCs w:val="20"/>
          <w:lang w:val="en-AU" w:eastAsia="en-US"/>
        </w:rPr>
        <w:t xml:space="preserve">; </w:t>
      </w:r>
      <w:r w:rsidR="0049288F" w:rsidRPr="00B901AE">
        <w:rPr>
          <w:rFonts w:ascii="Arial" w:eastAsia="宋体" w:hAnsi="Arial" w:cs="Arial" w:hint="eastAsia"/>
          <w:b/>
          <w:sz w:val="20"/>
          <w:szCs w:val="20"/>
          <w:lang w:val="en-AU"/>
        </w:rPr>
        <w:t>(</w:t>
      </w:r>
      <w:r w:rsidR="0049288F" w:rsidRPr="00B901AE">
        <w:rPr>
          <w:rFonts w:ascii="Arial" w:eastAsia="宋体" w:hAnsi="Arial" w:cs="Arial"/>
          <w:b/>
          <w:sz w:val="20"/>
          <w:szCs w:val="20"/>
          <w:lang w:val="en-AU"/>
        </w:rPr>
        <w:t>ii)</w:t>
      </w:r>
      <w:r w:rsidR="0049288F">
        <w:rPr>
          <w:rFonts w:ascii="Arial" w:eastAsia="宋体" w:hAnsi="Arial" w:cs="Arial"/>
          <w:sz w:val="20"/>
          <w:szCs w:val="20"/>
          <w:lang w:val="en-AU"/>
        </w:rPr>
        <w:t xml:space="preserve"> </w:t>
      </w:r>
      <w:r w:rsidRPr="0049288F">
        <w:rPr>
          <w:rFonts w:ascii="Arial" w:eastAsia="宋体" w:hAnsi="Arial" w:cs="Arial"/>
          <w:sz w:val="20"/>
          <w:szCs w:val="20"/>
          <w:lang w:val="en-AU" w:eastAsia="en-US"/>
        </w:rPr>
        <w:t xml:space="preserve">to demonstrate the utility of the contour plot with four different motivating </w:t>
      </w:r>
      <w:r w:rsidRPr="0049288F">
        <w:rPr>
          <w:rFonts w:ascii="Arial" w:eastAsia="宋体" w:hAnsi="Arial" w:cs="Arial"/>
          <w:sz w:val="20"/>
          <w:szCs w:val="20"/>
          <w:lang w:val="en-AU"/>
        </w:rPr>
        <w:t>case</w:t>
      </w:r>
      <w:r w:rsidRPr="0049288F">
        <w:rPr>
          <w:rFonts w:ascii="Arial" w:eastAsia="宋体" w:hAnsi="Arial" w:cs="Arial"/>
          <w:sz w:val="20"/>
          <w:szCs w:val="20"/>
          <w:lang w:val="en-AU" w:eastAsia="en-US"/>
        </w:rPr>
        <w:t>s (</w:t>
      </w:r>
      <w:r w:rsidRPr="0049288F">
        <w:rPr>
          <w:rFonts w:ascii="Arial" w:eastAsia="宋体" w:hAnsi="Arial" w:cs="Arial"/>
          <w:sz w:val="20"/>
          <w:szCs w:val="20"/>
          <w:lang w:val="en-AU"/>
        </w:rPr>
        <w:t xml:space="preserve">i.e., </w:t>
      </w:r>
      <w:r w:rsidRPr="0049288F">
        <w:rPr>
          <w:rFonts w:ascii="Arial" w:eastAsia="宋体" w:hAnsi="Arial" w:cs="Arial"/>
          <w:sz w:val="20"/>
          <w:szCs w:val="20"/>
          <w:lang w:val="en-AU" w:eastAsia="en-US"/>
        </w:rPr>
        <w:t>flat dosing, covariate-based dosing, therapeutic drug monitoring (TDM), and handling inter-occasion variability (IOV</w:t>
      </w:r>
      <w:proofErr w:type="gramStart"/>
      <w:r w:rsidRPr="0049288F">
        <w:rPr>
          <w:rFonts w:ascii="Arial" w:eastAsia="宋体" w:hAnsi="Arial" w:cs="Arial"/>
          <w:sz w:val="20"/>
          <w:szCs w:val="20"/>
          <w:lang w:val="en-AU" w:eastAsia="en-US"/>
        </w:rPr>
        <w:t>) )</w:t>
      </w:r>
      <w:proofErr w:type="gramEnd"/>
      <w:r w:rsidRPr="0049288F">
        <w:rPr>
          <w:rFonts w:ascii="Arial" w:eastAsia="宋体" w:hAnsi="Arial" w:cs="Arial"/>
          <w:sz w:val="20"/>
          <w:szCs w:val="20"/>
          <w:lang w:val="en-AU" w:eastAsia="en-US"/>
        </w:rPr>
        <w:t>.</w:t>
      </w:r>
    </w:p>
    <w:p w:rsidR="00B47CC3" w:rsidRPr="0049288F" w:rsidRDefault="00B47CC3" w:rsidP="00B901AE">
      <w:pPr>
        <w:spacing w:afterLines="100" w:after="240" w:line="240" w:lineRule="auto"/>
        <w:rPr>
          <w:rFonts w:ascii="Arial" w:eastAsia="宋体" w:hAnsi="Arial" w:cs="Arial"/>
          <w:b/>
          <w:sz w:val="20"/>
          <w:szCs w:val="20"/>
        </w:rPr>
      </w:pPr>
      <w:r w:rsidRPr="0097466F">
        <w:rPr>
          <w:rFonts w:ascii="Arial" w:eastAsia="宋体" w:hAnsi="Arial" w:cs="Arial"/>
          <w:b/>
          <w:sz w:val="20"/>
          <w:szCs w:val="20"/>
        </w:rPr>
        <w:t>METHODS</w:t>
      </w:r>
      <w:r w:rsidR="0049288F">
        <w:rPr>
          <w:rFonts w:ascii="Arial" w:eastAsia="宋体" w:hAnsi="Arial" w:cs="Arial" w:hint="eastAsia"/>
          <w:b/>
          <w:sz w:val="20"/>
          <w:szCs w:val="20"/>
        </w:rPr>
        <w:t>:</w:t>
      </w:r>
      <w:r w:rsidR="0049288F">
        <w:rPr>
          <w:rFonts w:ascii="Arial" w:eastAsia="宋体" w:hAnsi="Arial" w:cs="Arial"/>
          <w:b/>
          <w:sz w:val="20"/>
          <w:szCs w:val="20"/>
        </w:rPr>
        <w:t xml:space="preserve"> </w:t>
      </w:r>
      <w:r w:rsidRPr="0097466F">
        <w:rPr>
          <w:rFonts w:ascii="Arial" w:eastAsia="宋体" w:hAnsi="Arial" w:cs="Arial"/>
          <w:sz w:val="20"/>
          <w:szCs w:val="20"/>
          <w:lang w:val="en-AU"/>
        </w:rPr>
        <w:t xml:space="preserve">For the drugs with steady-state average plasma concentrations or area under the curve (AUC) as the therapeutic target, the in-theory best performance of the </w:t>
      </w:r>
      <w:r w:rsidRPr="0097466F">
        <w:rPr>
          <w:rFonts w:ascii="Arial" w:eastAsia="宋体" w:hAnsi="Arial" w:cs="Arial"/>
          <w:i/>
          <w:iCs/>
          <w:sz w:val="20"/>
          <w:szCs w:val="20"/>
          <w:lang w:val="en-AU"/>
        </w:rPr>
        <w:t xml:space="preserve">a priori </w:t>
      </w:r>
      <w:r w:rsidRPr="0097466F">
        <w:rPr>
          <w:rFonts w:ascii="Arial" w:eastAsia="宋体" w:hAnsi="Arial" w:cs="Arial"/>
          <w:sz w:val="20"/>
          <w:szCs w:val="20"/>
          <w:lang w:val="en-AU"/>
        </w:rPr>
        <w:t>covariate-based dosing regimen was derived given the information of unexplained between-subject variability from the PopPK analysis</w:t>
      </w:r>
      <w:r w:rsidRPr="0097466F">
        <w:rPr>
          <w:rFonts w:ascii="Arial" w:eastAsia="宋体" w:hAnsi="Arial" w:cs="Arial"/>
          <w:b/>
          <w:sz w:val="20"/>
          <w:szCs w:val="20"/>
        </w:rPr>
        <w:t xml:space="preserve">. </w:t>
      </w:r>
      <w:r w:rsidRPr="0097466F">
        <w:rPr>
          <w:rFonts w:ascii="Arial" w:eastAsia="宋体" w:hAnsi="Arial" w:cs="Arial"/>
          <w:sz w:val="20"/>
          <w:szCs w:val="20"/>
        </w:rPr>
        <w:t xml:space="preserve">A web-based interactive reference plot was implemented using the Shiny package in R. </w:t>
      </w:r>
    </w:p>
    <w:p w:rsidR="00B47CC3" w:rsidRPr="00BE03D6" w:rsidRDefault="00B901AE" w:rsidP="00B901AE">
      <w:pPr>
        <w:spacing w:afterLines="100" w:after="240" w:line="240" w:lineRule="auto"/>
        <w:rPr>
          <w:rFonts w:ascii="Arial" w:eastAsia="宋体" w:hAnsi="Arial" w:cs="Arial" w:hint="eastAsia"/>
          <w:b/>
          <w:sz w:val="20"/>
          <w:szCs w:val="20"/>
        </w:rPr>
      </w:pPr>
      <w:r w:rsidRPr="0097466F">
        <w:rPr>
          <w:rFonts w:ascii="Arial" w:eastAsia="宋体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D468306">
            <wp:simplePos x="0" y="0"/>
            <wp:positionH relativeFrom="margin">
              <wp:posOffset>3284477</wp:posOffset>
            </wp:positionH>
            <wp:positionV relativeFrom="paragraph">
              <wp:posOffset>5080</wp:posOffset>
            </wp:positionV>
            <wp:extent cx="3234055" cy="2436495"/>
            <wp:effectExtent l="0" t="0" r="4445" b="1905"/>
            <wp:wrapTight wrapText="bothSides">
              <wp:wrapPolygon edited="0">
                <wp:start x="0" y="0"/>
                <wp:lineTo x="0" y="21448"/>
                <wp:lineTo x="21502" y="21448"/>
                <wp:lineTo x="21502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CC3" w:rsidRPr="0097466F">
        <w:rPr>
          <w:rFonts w:ascii="Arial" w:eastAsia="宋体" w:hAnsi="Arial" w:cs="Arial"/>
          <w:b/>
          <w:sz w:val="20"/>
          <w:szCs w:val="20"/>
        </w:rPr>
        <w:t>RESULT</w:t>
      </w:r>
      <w:r w:rsidR="00DF5EEE" w:rsidRPr="0097466F">
        <w:rPr>
          <w:rFonts w:ascii="Arial" w:eastAsia="宋体" w:hAnsi="Arial" w:cs="Arial"/>
          <w:b/>
          <w:sz w:val="20"/>
          <w:szCs w:val="20"/>
        </w:rPr>
        <w:t>S</w:t>
      </w:r>
      <w:r w:rsidR="0049288F">
        <w:rPr>
          <w:rFonts w:ascii="Arial" w:eastAsia="宋体" w:hAnsi="Arial" w:cs="Arial" w:hint="eastAsia"/>
          <w:b/>
          <w:sz w:val="20"/>
          <w:szCs w:val="20"/>
        </w:rPr>
        <w:t>:</w:t>
      </w:r>
      <w:r w:rsidR="0049288F">
        <w:rPr>
          <w:rFonts w:ascii="Arial" w:eastAsia="宋体" w:hAnsi="Arial" w:cs="Arial"/>
          <w:b/>
          <w:sz w:val="20"/>
          <w:szCs w:val="20"/>
        </w:rPr>
        <w:t xml:space="preserve"> </w:t>
      </w:r>
      <w:r w:rsidR="0049288F" w:rsidRPr="0049288F">
        <w:rPr>
          <w:rFonts w:ascii="Arial" w:eastAsia="宋体" w:hAnsi="Arial" w:cs="Arial"/>
          <w:sz w:val="20"/>
          <w:szCs w:val="20"/>
        </w:rPr>
        <w:t xml:space="preserve">With </w:t>
      </w:r>
      <w:r w:rsidR="0049288F">
        <w:rPr>
          <w:rFonts w:ascii="Arial" w:eastAsia="宋体" w:hAnsi="Arial" w:cs="Arial"/>
          <w:sz w:val="20"/>
          <w:szCs w:val="20"/>
          <w:lang w:val="en-AU"/>
        </w:rPr>
        <w:t>an equation</w:t>
      </w:r>
      <w:r w:rsidR="00B47CC3" w:rsidRPr="0097466F">
        <w:rPr>
          <w:rFonts w:ascii="Arial" w:eastAsia="宋体" w:hAnsi="Arial" w:cs="Arial"/>
          <w:bCs/>
          <w:sz w:val="20"/>
          <w:szCs w:val="20"/>
          <w:lang w:val="en-AU"/>
        </w:rPr>
        <w:t xml:space="preserve"> derived for the maximum </w:t>
      </w:r>
      <w:r>
        <w:rPr>
          <w:rFonts w:ascii="Arial" w:eastAsia="宋体" w:hAnsi="Arial" w:cs="Arial"/>
          <w:bCs/>
          <w:sz w:val="20"/>
          <w:szCs w:val="20"/>
          <w:lang w:val="en-AU"/>
        </w:rPr>
        <w:t>PTA</w:t>
      </w:r>
      <w:r w:rsidR="0049288F">
        <w:rPr>
          <w:rFonts w:ascii="Arial" w:eastAsia="宋体" w:hAnsi="Arial" w:cs="Arial"/>
          <w:sz w:val="20"/>
          <w:szCs w:val="20"/>
          <w:lang w:val="en-AU"/>
        </w:rPr>
        <w:t>, the</w:t>
      </w:r>
      <w:r w:rsidR="00B47CC3" w:rsidRPr="0097466F">
        <w:rPr>
          <w:rFonts w:ascii="Arial" w:eastAsia="宋体" w:hAnsi="Arial" w:cs="Arial"/>
          <w:sz w:val="20"/>
          <w:szCs w:val="20"/>
          <w:lang w:val="en-AU"/>
        </w:rPr>
        <w:t xml:space="preserve"> interactive contour plot was </w:t>
      </w:r>
      <w:r w:rsidR="0049288F">
        <w:rPr>
          <w:rFonts w:ascii="Arial" w:eastAsia="宋体" w:hAnsi="Arial" w:cs="Arial"/>
          <w:sz w:val="20"/>
          <w:szCs w:val="20"/>
          <w:lang w:val="en-AU"/>
        </w:rPr>
        <w:t xml:space="preserve">subsequently </w:t>
      </w:r>
      <w:r w:rsidR="00B47CC3" w:rsidRPr="0097466F">
        <w:rPr>
          <w:rFonts w:ascii="Arial" w:eastAsia="宋体" w:hAnsi="Arial" w:cs="Arial"/>
          <w:sz w:val="20"/>
          <w:szCs w:val="20"/>
          <w:lang w:val="en-AU"/>
        </w:rPr>
        <w:t>implemented in a web-based interface.</w:t>
      </w:r>
      <w:r w:rsidR="0049288F">
        <w:rPr>
          <w:rFonts w:ascii="Arial" w:eastAsia="宋体" w:hAnsi="Arial" w:cs="Arial" w:hint="eastAsia"/>
          <w:b/>
          <w:sz w:val="20"/>
          <w:szCs w:val="20"/>
        </w:rPr>
        <w:t xml:space="preserve"> </w:t>
      </w:r>
      <w:r w:rsidR="00BE03D6">
        <w:rPr>
          <w:rFonts w:ascii="Arial" w:eastAsia="宋体" w:hAnsi="Arial" w:cs="Arial"/>
          <w:sz w:val="20"/>
          <w:szCs w:val="20"/>
        </w:rPr>
        <w:t>The tool</w:t>
      </w:r>
      <w:r w:rsidR="00B47CC3" w:rsidRPr="0097466F">
        <w:rPr>
          <w:rFonts w:ascii="Arial" w:eastAsia="宋体" w:hAnsi="Arial" w:cs="Arial"/>
          <w:sz w:val="20"/>
          <w:szCs w:val="20"/>
          <w:lang w:val="en-AU"/>
        </w:rPr>
        <w:t xml:space="preserve"> we developed help</w:t>
      </w:r>
      <w:r>
        <w:rPr>
          <w:rFonts w:ascii="Arial" w:eastAsia="宋体" w:hAnsi="Arial" w:cs="Arial"/>
          <w:sz w:val="20"/>
          <w:szCs w:val="20"/>
          <w:lang w:val="en-AU"/>
        </w:rPr>
        <w:t>s</w:t>
      </w:r>
      <w:r w:rsidR="00B47CC3" w:rsidRPr="0097466F">
        <w:rPr>
          <w:rFonts w:ascii="Arial" w:eastAsia="宋体" w:hAnsi="Arial" w:cs="Arial"/>
          <w:sz w:val="20"/>
          <w:szCs w:val="20"/>
          <w:lang w:val="en-AU"/>
        </w:rPr>
        <w:t xml:space="preserve"> answer the questions about the choice of dosing strategy in clinical practice. Here, we demonstrated the utilities by having one practical case for each </w:t>
      </w:r>
      <w:proofErr w:type="gramStart"/>
      <w:r w:rsidR="00B47CC3" w:rsidRPr="0097466F">
        <w:rPr>
          <w:rFonts w:ascii="Arial" w:eastAsia="宋体" w:hAnsi="Arial" w:cs="Arial"/>
          <w:sz w:val="20"/>
          <w:szCs w:val="20"/>
          <w:lang w:val="en-AU"/>
        </w:rPr>
        <w:t>questio</w:t>
      </w:r>
      <w:r w:rsidR="00B47CC3" w:rsidRPr="00BE03D6">
        <w:rPr>
          <w:rFonts w:ascii="Arial" w:eastAsia="宋体" w:hAnsi="Arial" w:cs="Arial"/>
          <w:sz w:val="20"/>
          <w:szCs w:val="20"/>
          <w:lang w:val="en-AU"/>
        </w:rPr>
        <w:t>n</w:t>
      </w:r>
      <w:r w:rsidR="00BE03D6" w:rsidRPr="00BE03D6">
        <w:rPr>
          <w:rFonts w:ascii="Arial" w:eastAsia="宋体" w:hAnsi="Arial" w:cs="Arial"/>
          <w:sz w:val="20"/>
          <w:szCs w:val="20"/>
        </w:rPr>
        <w:t>(</w:t>
      </w:r>
      <w:proofErr w:type="gramEnd"/>
      <w:r w:rsidR="00BE03D6" w:rsidRPr="00BE03D6">
        <w:rPr>
          <w:rFonts w:ascii="Arial" w:eastAsia="宋体" w:hAnsi="Arial" w:cs="Arial"/>
          <w:sz w:val="20"/>
          <w:szCs w:val="20"/>
        </w:rPr>
        <w:t xml:space="preserve">shown in </w:t>
      </w:r>
      <w:r w:rsidR="00BE03D6">
        <w:rPr>
          <w:rFonts w:ascii="Arial" w:eastAsia="宋体" w:hAnsi="Arial" w:cs="Arial"/>
          <w:b/>
          <w:sz w:val="20"/>
          <w:szCs w:val="20"/>
        </w:rPr>
        <w:t>Figure 1</w:t>
      </w:r>
      <w:r w:rsidR="00BE03D6" w:rsidRPr="00BE03D6">
        <w:rPr>
          <w:rFonts w:ascii="Arial" w:eastAsia="宋体" w:hAnsi="Arial" w:cs="Arial"/>
          <w:sz w:val="20"/>
          <w:szCs w:val="20"/>
        </w:rPr>
        <w:t>)</w:t>
      </w:r>
      <w:r w:rsidR="0049288F">
        <w:rPr>
          <w:rFonts w:ascii="Arial" w:eastAsia="宋体" w:hAnsi="Arial" w:cs="Arial"/>
          <w:sz w:val="20"/>
          <w:szCs w:val="20"/>
          <w:lang w:val="en-AU"/>
        </w:rPr>
        <w:t xml:space="preserve">: </w:t>
      </w:r>
      <w:r w:rsidR="0049288F" w:rsidRPr="00B901AE">
        <w:rPr>
          <w:rFonts w:ascii="Arial" w:eastAsia="宋体" w:hAnsi="Arial" w:cs="Arial"/>
          <w:b/>
          <w:sz w:val="20"/>
          <w:szCs w:val="20"/>
          <w:lang w:val="en-AU"/>
        </w:rPr>
        <w:t>(</w:t>
      </w:r>
      <w:proofErr w:type="spellStart"/>
      <w:r w:rsidR="0049288F" w:rsidRPr="00B901AE">
        <w:rPr>
          <w:rFonts w:ascii="Arial" w:eastAsia="宋体" w:hAnsi="Arial" w:cs="Arial"/>
          <w:b/>
          <w:sz w:val="20"/>
          <w:szCs w:val="20"/>
          <w:lang w:val="en-AU"/>
        </w:rPr>
        <w:t>i</w:t>
      </w:r>
      <w:proofErr w:type="spellEnd"/>
      <w:r w:rsidR="0049288F" w:rsidRPr="00B901AE">
        <w:rPr>
          <w:rFonts w:ascii="Arial" w:eastAsia="宋体" w:hAnsi="Arial" w:cs="Arial"/>
          <w:b/>
          <w:sz w:val="20"/>
          <w:szCs w:val="20"/>
          <w:lang w:val="en-AU"/>
        </w:rPr>
        <w:t>)</w:t>
      </w:r>
      <w:r w:rsidR="0049288F">
        <w:rPr>
          <w:rFonts w:ascii="Arial" w:eastAsia="宋体" w:hAnsi="Arial" w:cs="Arial"/>
          <w:sz w:val="20"/>
          <w:szCs w:val="20"/>
          <w:lang w:val="en-AU"/>
        </w:rPr>
        <w:t xml:space="preserve"> </w:t>
      </w:r>
      <w:r w:rsidR="00B47CC3" w:rsidRPr="0049288F">
        <w:rPr>
          <w:rFonts w:ascii="Arial" w:eastAsia="宋体" w:hAnsi="Arial" w:cs="Arial"/>
          <w:sz w:val="20"/>
          <w:szCs w:val="20"/>
          <w:lang w:val="en-AU"/>
        </w:rPr>
        <w:t xml:space="preserve">Is the one-dose-fits-all strategy suitable for </w:t>
      </w:r>
      <w:r w:rsidR="0049288F">
        <w:rPr>
          <w:rFonts w:ascii="Arial" w:eastAsia="宋体" w:hAnsi="Arial" w:cs="Arial"/>
          <w:sz w:val="20"/>
          <w:szCs w:val="20"/>
          <w:lang w:val="en-AU"/>
        </w:rPr>
        <w:t>pembrolizumab</w:t>
      </w:r>
      <w:r w:rsidR="00B47CC3" w:rsidRPr="0049288F">
        <w:rPr>
          <w:rFonts w:ascii="Arial" w:eastAsia="宋体" w:hAnsi="Arial" w:cs="Arial"/>
          <w:sz w:val="20"/>
          <w:szCs w:val="20"/>
          <w:lang w:val="en-AU"/>
        </w:rPr>
        <w:t>?</w:t>
      </w:r>
      <w:r w:rsidR="0049288F">
        <w:rPr>
          <w:rFonts w:ascii="Arial" w:eastAsia="宋体" w:hAnsi="Arial" w:cs="Arial" w:hint="eastAsia"/>
          <w:b/>
          <w:sz w:val="20"/>
          <w:szCs w:val="20"/>
        </w:rPr>
        <w:t xml:space="preserve"> </w:t>
      </w:r>
      <w:r w:rsidR="0049288F">
        <w:rPr>
          <w:rFonts w:ascii="Arial" w:eastAsia="宋体" w:hAnsi="Arial" w:cs="Arial"/>
          <w:b/>
          <w:sz w:val="20"/>
          <w:szCs w:val="20"/>
        </w:rPr>
        <w:t xml:space="preserve">(ii) </w:t>
      </w:r>
      <w:r w:rsidR="00B47CC3" w:rsidRPr="0049288F">
        <w:rPr>
          <w:rFonts w:ascii="Arial" w:eastAsia="宋体" w:hAnsi="Arial" w:cs="Arial"/>
          <w:sz w:val="20"/>
          <w:szCs w:val="20"/>
          <w:lang w:val="en-AU"/>
        </w:rPr>
        <w:t xml:space="preserve">How much can the </w:t>
      </w:r>
      <w:r w:rsidR="00BE03D6" w:rsidRPr="00BE03D6">
        <w:rPr>
          <w:rFonts w:ascii="Arial" w:eastAsia="宋体" w:hAnsi="Arial" w:cs="Arial"/>
          <w:i/>
          <w:sz w:val="20"/>
          <w:szCs w:val="20"/>
          <w:lang w:val="en-AU"/>
        </w:rPr>
        <w:t>PTA</w:t>
      </w:r>
      <w:r w:rsidR="00BE03D6">
        <w:rPr>
          <w:rFonts w:ascii="Arial" w:eastAsia="宋体" w:hAnsi="Arial" w:cs="Arial"/>
          <w:sz w:val="20"/>
          <w:szCs w:val="20"/>
          <w:lang w:val="en-AU"/>
        </w:rPr>
        <w:t xml:space="preserve"> be </w:t>
      </w:r>
      <w:proofErr w:type="spellStart"/>
      <w:r w:rsidR="00BE03D6">
        <w:rPr>
          <w:rFonts w:ascii="Arial" w:eastAsia="宋体" w:hAnsi="Arial" w:cs="Arial"/>
          <w:sz w:val="20"/>
          <w:szCs w:val="20"/>
          <w:lang w:val="en-AU"/>
        </w:rPr>
        <w:t>b</w:t>
      </w:r>
      <w:r w:rsidR="00B47CC3" w:rsidRPr="0049288F">
        <w:rPr>
          <w:rFonts w:ascii="Arial" w:eastAsia="宋体" w:hAnsi="Arial" w:cs="Arial"/>
          <w:sz w:val="20"/>
          <w:szCs w:val="20"/>
          <w:lang w:val="en-AU"/>
        </w:rPr>
        <w:t>improved</w:t>
      </w:r>
      <w:proofErr w:type="spellEnd"/>
      <w:r w:rsidR="00B47CC3" w:rsidRPr="0049288F">
        <w:rPr>
          <w:rFonts w:ascii="Arial" w:eastAsia="宋体" w:hAnsi="Arial" w:cs="Arial"/>
          <w:sz w:val="20"/>
          <w:szCs w:val="20"/>
          <w:lang w:val="en-AU"/>
        </w:rPr>
        <w:t xml:space="preserve"> at most if we use covariate-based dosing instead of one-dose-fits-all</w:t>
      </w:r>
      <w:r w:rsidR="0049288F">
        <w:rPr>
          <w:rFonts w:ascii="Arial" w:eastAsia="宋体" w:hAnsi="Arial" w:cs="Arial"/>
          <w:sz w:val="20"/>
          <w:szCs w:val="20"/>
          <w:lang w:val="en-AU"/>
        </w:rPr>
        <w:t xml:space="preserve"> for </w:t>
      </w:r>
      <w:proofErr w:type="spellStart"/>
      <w:r w:rsidR="0049288F">
        <w:rPr>
          <w:rFonts w:ascii="Arial" w:eastAsia="宋体" w:hAnsi="Arial" w:cs="Arial"/>
          <w:sz w:val="20"/>
          <w:szCs w:val="20"/>
          <w:lang w:val="en-AU"/>
        </w:rPr>
        <w:t>mycophenomic</w:t>
      </w:r>
      <w:proofErr w:type="spellEnd"/>
      <w:r w:rsidR="0049288F">
        <w:rPr>
          <w:rFonts w:ascii="Arial" w:eastAsia="宋体" w:hAnsi="Arial" w:cs="Arial"/>
          <w:sz w:val="20"/>
          <w:szCs w:val="20"/>
          <w:lang w:val="en-AU"/>
        </w:rPr>
        <w:t xml:space="preserve"> acid?</w:t>
      </w:r>
      <w:r w:rsidR="00B47CC3" w:rsidRPr="0049288F">
        <w:rPr>
          <w:rFonts w:ascii="Arial" w:eastAsia="宋体" w:hAnsi="Arial" w:cs="Arial"/>
          <w:sz w:val="20"/>
          <w:szCs w:val="20"/>
          <w:lang w:val="en-AU"/>
        </w:rPr>
        <w:t xml:space="preserve"> </w:t>
      </w:r>
      <w:r w:rsidR="0049288F">
        <w:rPr>
          <w:rFonts w:ascii="Arial" w:eastAsia="宋体" w:hAnsi="Arial" w:cs="Arial" w:hint="eastAsia"/>
          <w:b/>
          <w:sz w:val="20"/>
          <w:szCs w:val="20"/>
        </w:rPr>
        <w:t>(</w:t>
      </w:r>
      <w:r w:rsidR="0049288F">
        <w:rPr>
          <w:rFonts w:ascii="Arial" w:eastAsia="宋体" w:hAnsi="Arial" w:cs="Arial"/>
          <w:b/>
          <w:sz w:val="20"/>
          <w:szCs w:val="20"/>
        </w:rPr>
        <w:t xml:space="preserve">iii) </w:t>
      </w:r>
      <w:r w:rsidR="00B47CC3" w:rsidRPr="0049288F">
        <w:rPr>
          <w:rFonts w:ascii="Arial" w:eastAsia="宋体" w:hAnsi="Arial" w:cs="Arial"/>
          <w:sz w:val="20"/>
          <w:szCs w:val="20"/>
          <w:lang w:val="en-AU"/>
        </w:rPr>
        <w:t xml:space="preserve">When do we need </w:t>
      </w:r>
      <w:r>
        <w:rPr>
          <w:rFonts w:ascii="Arial" w:eastAsia="宋体" w:hAnsi="Arial" w:cs="Arial"/>
          <w:sz w:val="20"/>
          <w:szCs w:val="20"/>
          <w:lang w:val="en-AU"/>
        </w:rPr>
        <w:t>TDM</w:t>
      </w:r>
      <w:r w:rsidR="0049288F">
        <w:rPr>
          <w:rFonts w:ascii="Arial" w:eastAsia="宋体" w:hAnsi="Arial" w:cs="Arial"/>
          <w:sz w:val="20"/>
          <w:szCs w:val="20"/>
          <w:lang w:val="en-AU"/>
        </w:rPr>
        <w:t xml:space="preserve"> for vancomycin</w:t>
      </w:r>
      <w:r w:rsidR="00B47CC3" w:rsidRPr="0049288F">
        <w:rPr>
          <w:rFonts w:ascii="Arial" w:eastAsia="宋体" w:hAnsi="Arial" w:cs="Arial"/>
          <w:sz w:val="20"/>
          <w:szCs w:val="20"/>
          <w:lang w:val="en-AU"/>
        </w:rPr>
        <w:t xml:space="preserve">? </w:t>
      </w:r>
      <w:r w:rsidR="0049288F">
        <w:rPr>
          <w:rFonts w:ascii="Arial" w:eastAsia="宋体" w:hAnsi="Arial" w:cs="Arial" w:hint="eastAsia"/>
          <w:b/>
          <w:sz w:val="20"/>
          <w:szCs w:val="20"/>
        </w:rPr>
        <w:t>(</w:t>
      </w:r>
      <w:r w:rsidR="0049288F">
        <w:rPr>
          <w:rFonts w:ascii="Arial" w:eastAsia="宋体" w:hAnsi="Arial" w:cs="Arial"/>
          <w:b/>
          <w:sz w:val="20"/>
          <w:szCs w:val="20"/>
        </w:rPr>
        <w:t xml:space="preserve">iv) </w:t>
      </w:r>
      <w:r w:rsidR="00B47CC3" w:rsidRPr="0049288F">
        <w:rPr>
          <w:rFonts w:ascii="Arial" w:eastAsia="宋体" w:hAnsi="Arial" w:cs="Arial"/>
          <w:sz w:val="20"/>
          <w:szCs w:val="20"/>
          <w:lang w:val="en-AU"/>
        </w:rPr>
        <w:t xml:space="preserve">What is the impact of </w:t>
      </w:r>
      <w:r>
        <w:rPr>
          <w:rFonts w:ascii="Arial" w:eastAsia="宋体" w:hAnsi="Arial" w:cs="Arial"/>
          <w:sz w:val="20"/>
          <w:szCs w:val="20"/>
          <w:lang w:val="en-AU"/>
        </w:rPr>
        <w:t>IOV</w:t>
      </w:r>
      <w:r w:rsidR="0049288F">
        <w:rPr>
          <w:rFonts w:ascii="Arial" w:eastAsia="宋体" w:hAnsi="Arial" w:cs="Arial"/>
          <w:sz w:val="20"/>
          <w:szCs w:val="20"/>
          <w:lang w:val="en-AU"/>
        </w:rPr>
        <w:t xml:space="preserve"> for valganciclovir</w:t>
      </w:r>
      <w:r w:rsidR="00B47CC3" w:rsidRPr="0049288F">
        <w:rPr>
          <w:rFonts w:ascii="Arial" w:eastAsia="宋体" w:hAnsi="Arial" w:cs="Arial"/>
          <w:sz w:val="20"/>
          <w:szCs w:val="20"/>
          <w:lang w:val="en-AU"/>
        </w:rPr>
        <w:t>?</w:t>
      </w:r>
      <w:r w:rsidR="00BE03D6">
        <w:rPr>
          <w:rFonts w:ascii="Arial" w:eastAsia="宋体" w:hAnsi="Arial" w:cs="Arial" w:hint="eastAsia"/>
          <w:b/>
          <w:sz w:val="20"/>
          <w:szCs w:val="20"/>
        </w:rPr>
        <w:t xml:space="preserve"> </w:t>
      </w:r>
    </w:p>
    <w:p w:rsidR="00B47CC3" w:rsidRPr="0097466F" w:rsidRDefault="00B901AE" w:rsidP="00B901AE">
      <w:pPr>
        <w:spacing w:afterLines="100" w:after="240" w:line="240" w:lineRule="auto"/>
        <w:rPr>
          <w:rFonts w:ascii="Arial" w:eastAsia="宋体" w:hAnsi="Arial" w:cs="Arial" w:hint="eastAsi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F9AFB4" wp14:editId="12D67884">
                <wp:simplePos x="0" y="0"/>
                <wp:positionH relativeFrom="margin">
                  <wp:align>right</wp:align>
                </wp:positionH>
                <wp:positionV relativeFrom="paragraph">
                  <wp:posOffset>541655</wp:posOffset>
                </wp:positionV>
                <wp:extent cx="2921635" cy="635"/>
                <wp:effectExtent l="0" t="0" r="0" b="3810"/>
                <wp:wrapTight wrapText="bothSides">
                  <wp:wrapPolygon edited="0">
                    <wp:start x="0" y="0"/>
                    <wp:lineTo x="0" y="21057"/>
                    <wp:lineTo x="21408" y="21057"/>
                    <wp:lineTo x="21408" y="0"/>
                    <wp:lineTo x="0" y="0"/>
                  </wp:wrapPolygon>
                </wp:wrapTight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6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E03D6" w:rsidRPr="00B901AE" w:rsidRDefault="00BE03D6" w:rsidP="00BE03D6">
                            <w:pPr>
                              <w:pStyle w:val="af4"/>
                              <w:jc w:val="center"/>
                              <w:rPr>
                                <w:rFonts w:ascii="Arial" w:eastAsia="宋体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B901A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Figure </w:t>
                            </w:r>
                            <w:r w:rsidRPr="00B901A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901A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instrText xml:space="preserve"> SEQ Figure \* ARABIC </w:instrText>
                            </w:r>
                            <w:r w:rsidRPr="00B901A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B901AE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B901A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901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Reference </w:t>
                            </w:r>
                            <w:proofErr w:type="spellStart"/>
                            <w:r w:rsidRPr="00B901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plottings</w:t>
                            </w:r>
                            <w:proofErr w:type="spellEnd"/>
                            <w:r w:rsidRPr="00B901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demonstrated drugs. Solid triangles stand for final models or the model with IOV considered. Open triangles represent base models. Solid square presents the model without IOV considered.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F9AFB4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178.85pt;margin-top:42.65pt;width:230.05pt;height:.05pt;z-index:-2516561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" stroked="f">
                <v:textbox style="mso-fit-shape-to-text:t" inset="0,0,0,0">
                  <w:txbxContent>
                    <w:p w:rsidR="00BE03D6" w:rsidRPr="00B901AE" w:rsidRDefault="00BE03D6" w:rsidP="00BE03D6">
                      <w:pPr>
                        <w:pStyle w:val="af4"/>
                        <w:jc w:val="center"/>
                        <w:rPr>
                          <w:rFonts w:ascii="Arial" w:eastAsia="宋体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 w:rsidRPr="00B901A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Figure </w:t>
                      </w:r>
                      <w:r w:rsidRPr="00B901A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Pr="00B901A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instrText xml:space="preserve"> SEQ Figure \* ARABIC </w:instrText>
                      </w:r>
                      <w:r w:rsidRPr="00B901A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Pr="00B901AE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1</w:t>
                      </w:r>
                      <w:r w:rsidRPr="00B901A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  <w:r w:rsidRPr="00B901A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Reference </w:t>
                      </w:r>
                      <w:proofErr w:type="spellStart"/>
                      <w:r w:rsidRPr="00B901AE">
                        <w:rPr>
                          <w:rFonts w:ascii="Arial" w:hAnsi="Arial" w:cs="Arial"/>
                          <w:sz w:val="16"/>
                          <w:szCs w:val="16"/>
                        </w:rPr>
                        <w:t>plottings</w:t>
                      </w:r>
                      <w:proofErr w:type="spellEnd"/>
                      <w:r w:rsidRPr="00B901A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 demonstrated drugs. Solid triangles stand for final models or the model with IOV considered. Open triangles represent base models. Solid square presents the model without IOV considered.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47CC3" w:rsidRPr="0097466F">
        <w:rPr>
          <w:rFonts w:ascii="Arial" w:eastAsia="宋体" w:hAnsi="Arial" w:cs="Arial"/>
          <w:b/>
          <w:sz w:val="20"/>
          <w:szCs w:val="20"/>
        </w:rPr>
        <w:t>CONCLUSION</w:t>
      </w:r>
      <w:r w:rsidR="0049288F">
        <w:rPr>
          <w:rFonts w:ascii="Arial" w:eastAsia="宋体" w:hAnsi="Arial" w:cs="Arial" w:hint="eastAsia"/>
          <w:b/>
          <w:sz w:val="20"/>
          <w:szCs w:val="20"/>
        </w:rPr>
        <w:t>:</w:t>
      </w:r>
      <w:r>
        <w:rPr>
          <w:rFonts w:ascii="Arial" w:eastAsia="宋体" w:hAnsi="Arial" w:cs="Arial"/>
          <w:b/>
          <w:sz w:val="20"/>
          <w:szCs w:val="20"/>
        </w:rPr>
        <w:t xml:space="preserve"> </w:t>
      </w:r>
      <w:r w:rsidR="00B47CC3" w:rsidRPr="0097466F">
        <w:rPr>
          <w:rFonts w:ascii="Arial" w:eastAsia="宋体" w:hAnsi="Arial" w:cs="Arial"/>
          <w:sz w:val="20"/>
          <w:szCs w:val="20"/>
          <w:lang w:val="en-AU"/>
        </w:rPr>
        <w:t>An interactive reference plot was developed to serve</w:t>
      </w:r>
      <w:r>
        <w:rPr>
          <w:rFonts w:ascii="Arial" w:eastAsia="宋体" w:hAnsi="Arial" w:cs="Arial"/>
          <w:sz w:val="20"/>
          <w:szCs w:val="20"/>
          <w:lang w:val="en-AU"/>
        </w:rPr>
        <w:t xml:space="preserve"> </w:t>
      </w:r>
      <w:r w:rsidR="00B47CC3" w:rsidRPr="0097466F">
        <w:rPr>
          <w:rFonts w:ascii="Arial" w:eastAsia="宋体" w:hAnsi="Arial" w:cs="Arial"/>
          <w:sz w:val="20"/>
          <w:szCs w:val="20"/>
          <w:lang w:val="en-AU"/>
        </w:rPr>
        <w:t xml:space="preserve">as a practical </w:t>
      </w:r>
      <w:r w:rsidR="00764589" w:rsidRPr="0097466F">
        <w:rPr>
          <w:rFonts w:ascii="Arial" w:eastAsia="宋体" w:hAnsi="Arial" w:cs="Arial"/>
          <w:sz w:val="20"/>
          <w:szCs w:val="20"/>
          <w:lang w:val="en-AU"/>
        </w:rPr>
        <w:t xml:space="preserve">kit </w:t>
      </w:r>
      <w:r w:rsidR="00B47CC3" w:rsidRPr="0097466F">
        <w:rPr>
          <w:rFonts w:ascii="Arial" w:eastAsia="宋体" w:hAnsi="Arial" w:cs="Arial"/>
          <w:sz w:val="20"/>
          <w:szCs w:val="20"/>
          <w:lang w:val="en-AU"/>
        </w:rPr>
        <w:t xml:space="preserve">to assist non-pharmacometricians in better interpreting the result of PopPK analysis by establishing a performance window. In doing so, this “last-mile delivery” service </w:t>
      </w:r>
      <w:r w:rsidR="00764589" w:rsidRPr="0097466F">
        <w:rPr>
          <w:rFonts w:ascii="Arial" w:eastAsia="宋体" w:hAnsi="Arial" w:cs="Arial"/>
          <w:sz w:val="20"/>
          <w:szCs w:val="20"/>
          <w:lang w:val="en-AU"/>
        </w:rPr>
        <w:t xml:space="preserve">not only provides an approachable tool for educational purposes but </w:t>
      </w:r>
      <w:r w:rsidR="00B47CC3" w:rsidRPr="0097466F">
        <w:rPr>
          <w:rFonts w:ascii="Arial" w:eastAsia="宋体" w:hAnsi="Arial" w:cs="Arial"/>
          <w:sz w:val="20"/>
          <w:szCs w:val="20"/>
          <w:lang w:val="en-AU"/>
        </w:rPr>
        <w:t xml:space="preserve">enhances the impact of model-based precision dosing </w:t>
      </w:r>
      <w:r w:rsidR="00764589" w:rsidRPr="0097466F">
        <w:rPr>
          <w:rFonts w:ascii="Arial" w:eastAsia="宋体" w:hAnsi="Arial" w:cs="Arial"/>
          <w:sz w:val="20"/>
          <w:szCs w:val="20"/>
          <w:lang w:val="en-AU"/>
        </w:rPr>
        <w:t xml:space="preserve">strategy </w:t>
      </w:r>
      <w:r w:rsidR="00B47CC3" w:rsidRPr="0097466F">
        <w:rPr>
          <w:rFonts w:ascii="Arial" w:eastAsia="宋体" w:hAnsi="Arial" w:cs="Arial"/>
          <w:sz w:val="20"/>
          <w:szCs w:val="20"/>
          <w:lang w:val="en-AU"/>
        </w:rPr>
        <w:t>on decision-making in clinical practice.</w:t>
      </w:r>
    </w:p>
    <w:p w:rsidR="00B47CC3" w:rsidRPr="0097466F" w:rsidRDefault="00B47CC3" w:rsidP="00606E01">
      <w:pPr>
        <w:spacing w:after="0" w:line="360" w:lineRule="auto"/>
        <w:jc w:val="both"/>
        <w:rPr>
          <w:rFonts w:ascii="Arial" w:eastAsia="宋体" w:hAnsi="Arial" w:cs="Arial"/>
          <w:b/>
          <w:sz w:val="20"/>
          <w:szCs w:val="20"/>
        </w:rPr>
      </w:pPr>
      <w:r w:rsidRPr="0097466F">
        <w:rPr>
          <w:rFonts w:ascii="Arial" w:eastAsia="宋体" w:hAnsi="Arial" w:cs="Arial"/>
          <w:b/>
          <w:sz w:val="20"/>
          <w:szCs w:val="20"/>
        </w:rPr>
        <w:t>REFERENCE</w:t>
      </w:r>
      <w:r w:rsidR="00B901AE">
        <w:rPr>
          <w:rFonts w:ascii="Arial" w:eastAsia="宋体" w:hAnsi="Arial" w:cs="Arial"/>
          <w:b/>
          <w:sz w:val="20"/>
          <w:szCs w:val="20"/>
        </w:rPr>
        <w:t>:</w:t>
      </w:r>
    </w:p>
    <w:p w:rsidR="00B47CC3" w:rsidRPr="00B901AE" w:rsidRDefault="009C0AF9" w:rsidP="00174160">
      <w:pPr>
        <w:pStyle w:val="EndNoteBibliography"/>
        <w:spacing w:after="0"/>
        <w:ind w:left="720" w:hanging="72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1</w:t>
      </w:r>
      <w:r w:rsidR="00B47CC3" w:rsidRPr="00B901AE">
        <w:rPr>
          <w:rFonts w:ascii="Arial" w:hAnsi="Arial" w:cs="Arial"/>
          <w:sz w:val="16"/>
          <w:szCs w:val="20"/>
        </w:rPr>
        <w:t>.</w:t>
      </w:r>
      <w:r w:rsidR="00B47CC3" w:rsidRPr="00B901AE">
        <w:rPr>
          <w:rFonts w:ascii="Arial" w:hAnsi="Arial" w:cs="Arial"/>
          <w:sz w:val="16"/>
          <w:szCs w:val="20"/>
        </w:rPr>
        <w:tab/>
        <w:t>Freshwater, T., A. Kondic</w:t>
      </w:r>
      <w:r w:rsidR="00B47CC3" w:rsidRPr="00B901AE">
        <w:rPr>
          <w:rFonts w:ascii="Arial" w:hAnsi="Arial" w:cs="Arial"/>
          <w:i/>
          <w:sz w:val="16"/>
          <w:szCs w:val="20"/>
        </w:rPr>
        <w:t>, et al.</w:t>
      </w:r>
      <w:r w:rsidR="00B47CC3" w:rsidRPr="00B901AE">
        <w:rPr>
          <w:rFonts w:ascii="Arial" w:hAnsi="Arial" w:cs="Arial"/>
          <w:sz w:val="16"/>
          <w:szCs w:val="20"/>
        </w:rPr>
        <w:t xml:space="preserve">, Evaluation of dosing strategy for pembrolizumab for oncology indications. </w:t>
      </w:r>
      <w:r w:rsidR="00B47CC3" w:rsidRPr="00B901AE">
        <w:rPr>
          <w:rFonts w:ascii="Arial" w:hAnsi="Arial" w:cs="Arial"/>
          <w:i/>
          <w:sz w:val="16"/>
          <w:szCs w:val="20"/>
        </w:rPr>
        <w:t>J Immunother Cancer</w:t>
      </w:r>
      <w:r w:rsidR="00B47CC3" w:rsidRPr="00B901AE">
        <w:rPr>
          <w:rFonts w:ascii="Arial" w:hAnsi="Arial" w:cs="Arial"/>
          <w:sz w:val="16"/>
          <w:szCs w:val="20"/>
        </w:rPr>
        <w:t xml:space="preserve">, 2017. </w:t>
      </w:r>
      <w:r w:rsidR="00B47CC3" w:rsidRPr="00B901AE">
        <w:rPr>
          <w:rFonts w:ascii="Arial" w:hAnsi="Arial" w:cs="Arial"/>
          <w:b/>
          <w:sz w:val="16"/>
          <w:szCs w:val="20"/>
        </w:rPr>
        <w:t>5</w:t>
      </w:r>
      <w:r w:rsidR="00B47CC3" w:rsidRPr="00B901AE">
        <w:rPr>
          <w:rFonts w:ascii="Arial" w:hAnsi="Arial" w:cs="Arial"/>
          <w:sz w:val="16"/>
          <w:szCs w:val="20"/>
        </w:rPr>
        <w:t>: p. 43.</w:t>
      </w:r>
    </w:p>
    <w:p w:rsidR="00B47CC3" w:rsidRPr="00B901AE" w:rsidRDefault="009C0AF9" w:rsidP="00174160">
      <w:pPr>
        <w:pStyle w:val="EndNoteBibliography"/>
        <w:spacing w:after="0"/>
        <w:ind w:left="720" w:hanging="72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</w:t>
      </w:r>
      <w:r w:rsidR="00B47CC3" w:rsidRPr="00B901AE">
        <w:rPr>
          <w:rFonts w:ascii="Arial" w:hAnsi="Arial" w:cs="Arial"/>
          <w:sz w:val="16"/>
          <w:szCs w:val="20"/>
        </w:rPr>
        <w:t>.</w:t>
      </w:r>
      <w:r w:rsidR="00B47CC3" w:rsidRPr="00B901AE">
        <w:rPr>
          <w:rFonts w:ascii="Arial" w:hAnsi="Arial" w:cs="Arial"/>
          <w:sz w:val="16"/>
          <w:szCs w:val="20"/>
        </w:rPr>
        <w:tab/>
        <w:t>Romano-Aguilar, M., J.E. Resendiz-Galvan</w:t>
      </w:r>
      <w:r w:rsidR="00B47CC3" w:rsidRPr="00B901AE">
        <w:rPr>
          <w:rFonts w:ascii="Arial" w:hAnsi="Arial" w:cs="Arial"/>
          <w:i/>
          <w:sz w:val="16"/>
          <w:szCs w:val="20"/>
        </w:rPr>
        <w:t>, et al.</w:t>
      </w:r>
      <w:r w:rsidR="00B47CC3" w:rsidRPr="00B901AE">
        <w:rPr>
          <w:rFonts w:ascii="Arial" w:hAnsi="Arial" w:cs="Arial"/>
          <w:sz w:val="16"/>
          <w:szCs w:val="20"/>
        </w:rPr>
        <w:t xml:space="preserve">, Population pharmacokinetics of mycophenolic acid in Mexican patients with lupus nephritis. </w:t>
      </w:r>
      <w:r w:rsidR="00B47CC3" w:rsidRPr="00B901AE">
        <w:rPr>
          <w:rFonts w:ascii="Arial" w:hAnsi="Arial" w:cs="Arial"/>
          <w:i/>
          <w:sz w:val="16"/>
          <w:szCs w:val="20"/>
        </w:rPr>
        <w:t>Lupus</w:t>
      </w:r>
      <w:r w:rsidR="00B47CC3" w:rsidRPr="00B901AE">
        <w:rPr>
          <w:rFonts w:ascii="Arial" w:hAnsi="Arial" w:cs="Arial"/>
          <w:sz w:val="16"/>
          <w:szCs w:val="20"/>
        </w:rPr>
        <w:t xml:space="preserve">, 2020. </w:t>
      </w:r>
      <w:r w:rsidR="00B47CC3" w:rsidRPr="00B901AE">
        <w:rPr>
          <w:rFonts w:ascii="Arial" w:hAnsi="Arial" w:cs="Arial"/>
          <w:b/>
          <w:sz w:val="16"/>
          <w:szCs w:val="20"/>
        </w:rPr>
        <w:t>29</w:t>
      </w:r>
      <w:r w:rsidR="00B47CC3" w:rsidRPr="00B901AE">
        <w:rPr>
          <w:rFonts w:ascii="Arial" w:hAnsi="Arial" w:cs="Arial"/>
          <w:sz w:val="16"/>
          <w:szCs w:val="20"/>
        </w:rPr>
        <w:t>(9): p. 1067-1077.</w:t>
      </w:r>
    </w:p>
    <w:p w:rsidR="00B47CC3" w:rsidRPr="00B901AE" w:rsidRDefault="009C0AF9" w:rsidP="00174160">
      <w:pPr>
        <w:pStyle w:val="EndNoteBibliography"/>
        <w:spacing w:after="0"/>
        <w:ind w:left="720" w:hanging="72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</w:t>
      </w:r>
      <w:r w:rsidR="00B47CC3" w:rsidRPr="00B901AE">
        <w:rPr>
          <w:rFonts w:ascii="Arial" w:hAnsi="Arial" w:cs="Arial"/>
          <w:sz w:val="16"/>
          <w:szCs w:val="20"/>
        </w:rPr>
        <w:t>.</w:t>
      </w:r>
      <w:r w:rsidR="00B47CC3" w:rsidRPr="00B901AE">
        <w:rPr>
          <w:rFonts w:ascii="Arial" w:hAnsi="Arial" w:cs="Arial"/>
          <w:sz w:val="16"/>
          <w:szCs w:val="20"/>
        </w:rPr>
        <w:tab/>
        <w:t>Abd Rahman, A.N., S.E. Tett</w:t>
      </w:r>
      <w:r w:rsidR="00B47CC3" w:rsidRPr="00B901AE">
        <w:rPr>
          <w:rFonts w:ascii="Arial" w:hAnsi="Arial" w:cs="Arial"/>
          <w:i/>
          <w:sz w:val="16"/>
          <w:szCs w:val="20"/>
        </w:rPr>
        <w:t>, et al.</w:t>
      </w:r>
      <w:r w:rsidR="00B47CC3" w:rsidRPr="00B901AE">
        <w:rPr>
          <w:rFonts w:ascii="Arial" w:hAnsi="Arial" w:cs="Arial"/>
          <w:sz w:val="16"/>
          <w:szCs w:val="20"/>
        </w:rPr>
        <w:t xml:space="preserve">, Development of Improved Dosing Regimens for Mycophenolate Mofetil Based on Population Pharmacokinetic Analyses in Adults with Lupus Nephritis. </w:t>
      </w:r>
      <w:r w:rsidR="00B47CC3" w:rsidRPr="00B901AE">
        <w:rPr>
          <w:rFonts w:ascii="Arial" w:hAnsi="Arial" w:cs="Arial"/>
          <w:i/>
          <w:sz w:val="16"/>
          <w:szCs w:val="20"/>
        </w:rPr>
        <w:t>Eur J Drug Metab Pharmacokinet</w:t>
      </w:r>
      <w:r w:rsidR="00B47CC3" w:rsidRPr="00B901AE">
        <w:rPr>
          <w:rFonts w:ascii="Arial" w:hAnsi="Arial" w:cs="Arial"/>
          <w:sz w:val="16"/>
          <w:szCs w:val="20"/>
        </w:rPr>
        <w:t xml:space="preserve">, 2017. </w:t>
      </w:r>
      <w:r w:rsidR="00B47CC3" w:rsidRPr="00B901AE">
        <w:rPr>
          <w:rFonts w:ascii="Arial" w:hAnsi="Arial" w:cs="Arial"/>
          <w:b/>
          <w:sz w:val="16"/>
          <w:szCs w:val="20"/>
        </w:rPr>
        <w:t>42</w:t>
      </w:r>
      <w:r w:rsidR="00B47CC3" w:rsidRPr="00B901AE">
        <w:rPr>
          <w:rFonts w:ascii="Arial" w:hAnsi="Arial" w:cs="Arial"/>
          <w:sz w:val="16"/>
          <w:szCs w:val="20"/>
        </w:rPr>
        <w:t>(6): p. 993-1004.</w:t>
      </w:r>
    </w:p>
    <w:p w:rsidR="00B47CC3" w:rsidRPr="00B901AE" w:rsidRDefault="009C0AF9" w:rsidP="00174160">
      <w:pPr>
        <w:pStyle w:val="EndNoteBibliography"/>
        <w:spacing w:after="0"/>
        <w:ind w:left="720" w:hanging="72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4</w:t>
      </w:r>
      <w:r w:rsidR="00B47CC3" w:rsidRPr="00B901AE">
        <w:rPr>
          <w:rFonts w:ascii="Arial" w:hAnsi="Arial" w:cs="Arial"/>
          <w:sz w:val="16"/>
          <w:szCs w:val="20"/>
        </w:rPr>
        <w:t>.</w:t>
      </w:r>
      <w:r w:rsidR="00B47CC3" w:rsidRPr="00B901AE">
        <w:rPr>
          <w:rFonts w:ascii="Arial" w:hAnsi="Arial" w:cs="Arial"/>
          <w:sz w:val="16"/>
          <w:szCs w:val="20"/>
        </w:rPr>
        <w:tab/>
        <w:t>Roberts, J.A., F.S. Taccone</w:t>
      </w:r>
      <w:r w:rsidR="00B47CC3" w:rsidRPr="00B901AE">
        <w:rPr>
          <w:rFonts w:ascii="Arial" w:hAnsi="Arial" w:cs="Arial"/>
          <w:i/>
          <w:sz w:val="16"/>
          <w:szCs w:val="20"/>
        </w:rPr>
        <w:t>, et al.</w:t>
      </w:r>
      <w:r w:rsidR="00B47CC3" w:rsidRPr="00B901AE">
        <w:rPr>
          <w:rFonts w:ascii="Arial" w:hAnsi="Arial" w:cs="Arial"/>
          <w:sz w:val="16"/>
          <w:szCs w:val="20"/>
        </w:rPr>
        <w:t xml:space="preserve">, Vancomycin dosing in critically ill patients: robust methods for improved continuous-infusion regimens. </w:t>
      </w:r>
      <w:r w:rsidR="00B47CC3" w:rsidRPr="00B901AE">
        <w:rPr>
          <w:rFonts w:ascii="Arial" w:hAnsi="Arial" w:cs="Arial"/>
          <w:i/>
          <w:sz w:val="16"/>
          <w:szCs w:val="20"/>
        </w:rPr>
        <w:t>Antimicrob Agents Chemother</w:t>
      </w:r>
      <w:r w:rsidR="00B47CC3" w:rsidRPr="00B901AE">
        <w:rPr>
          <w:rFonts w:ascii="Arial" w:hAnsi="Arial" w:cs="Arial"/>
          <w:sz w:val="16"/>
          <w:szCs w:val="20"/>
        </w:rPr>
        <w:t xml:space="preserve">, 2011. </w:t>
      </w:r>
      <w:r w:rsidR="00B47CC3" w:rsidRPr="00B901AE">
        <w:rPr>
          <w:rFonts w:ascii="Arial" w:hAnsi="Arial" w:cs="Arial"/>
          <w:b/>
          <w:sz w:val="16"/>
          <w:szCs w:val="20"/>
        </w:rPr>
        <w:t>55</w:t>
      </w:r>
      <w:r w:rsidR="00B47CC3" w:rsidRPr="00B901AE">
        <w:rPr>
          <w:rFonts w:ascii="Arial" w:hAnsi="Arial" w:cs="Arial"/>
          <w:sz w:val="16"/>
          <w:szCs w:val="20"/>
        </w:rPr>
        <w:t>(6): p. 2704-9.</w:t>
      </w:r>
    </w:p>
    <w:p w:rsidR="00B47CC3" w:rsidRPr="00B901AE" w:rsidRDefault="009C0AF9" w:rsidP="00174160">
      <w:pPr>
        <w:pStyle w:val="EndNoteBibliography"/>
        <w:spacing w:after="0"/>
        <w:ind w:left="720" w:hanging="72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5</w:t>
      </w:r>
      <w:r w:rsidR="00B47CC3" w:rsidRPr="00B901AE">
        <w:rPr>
          <w:rFonts w:ascii="Arial" w:hAnsi="Arial" w:cs="Arial"/>
          <w:sz w:val="16"/>
          <w:szCs w:val="20"/>
        </w:rPr>
        <w:t>.</w:t>
      </w:r>
      <w:r w:rsidR="00B47CC3" w:rsidRPr="00B901AE">
        <w:rPr>
          <w:rFonts w:ascii="Arial" w:hAnsi="Arial" w:cs="Arial"/>
          <w:sz w:val="16"/>
          <w:szCs w:val="20"/>
        </w:rPr>
        <w:tab/>
        <w:t>Guo, T., R.M. van Hest</w:t>
      </w:r>
      <w:r w:rsidR="00B47CC3" w:rsidRPr="00B901AE">
        <w:rPr>
          <w:rFonts w:ascii="Arial" w:hAnsi="Arial" w:cs="Arial"/>
          <w:i/>
          <w:sz w:val="16"/>
          <w:szCs w:val="20"/>
        </w:rPr>
        <w:t>, et al.</w:t>
      </w:r>
      <w:r w:rsidR="00B47CC3" w:rsidRPr="00B901AE">
        <w:rPr>
          <w:rFonts w:ascii="Arial" w:hAnsi="Arial" w:cs="Arial"/>
          <w:sz w:val="16"/>
          <w:szCs w:val="20"/>
        </w:rPr>
        <w:t xml:space="preserve">, Why we should sample sparsely and aim for a higher target: Lessons from model-based therapeutic drug monitoring of vancomycin in intensive care patients. </w:t>
      </w:r>
      <w:r w:rsidR="00B47CC3" w:rsidRPr="00B901AE">
        <w:rPr>
          <w:rFonts w:ascii="Arial" w:hAnsi="Arial" w:cs="Arial"/>
          <w:i/>
          <w:sz w:val="16"/>
          <w:szCs w:val="20"/>
        </w:rPr>
        <w:t>Br J Clin Pharmacol</w:t>
      </w:r>
      <w:r w:rsidR="00B47CC3" w:rsidRPr="00B901AE">
        <w:rPr>
          <w:rFonts w:ascii="Arial" w:hAnsi="Arial" w:cs="Arial"/>
          <w:sz w:val="16"/>
          <w:szCs w:val="20"/>
        </w:rPr>
        <w:t xml:space="preserve">, 2021. </w:t>
      </w:r>
      <w:r w:rsidR="00B47CC3" w:rsidRPr="00B901AE">
        <w:rPr>
          <w:rFonts w:ascii="Arial" w:hAnsi="Arial" w:cs="Arial"/>
          <w:b/>
          <w:sz w:val="16"/>
          <w:szCs w:val="20"/>
        </w:rPr>
        <w:t>87</w:t>
      </w:r>
      <w:r w:rsidR="00B47CC3" w:rsidRPr="00B901AE">
        <w:rPr>
          <w:rFonts w:ascii="Arial" w:hAnsi="Arial" w:cs="Arial"/>
          <w:sz w:val="16"/>
          <w:szCs w:val="20"/>
        </w:rPr>
        <w:t>(3): p. 1234-1242.</w:t>
      </w:r>
    </w:p>
    <w:p w:rsidR="00B47CC3" w:rsidRPr="009C0AF9" w:rsidRDefault="009C0AF9" w:rsidP="009C0AF9">
      <w:pPr>
        <w:pStyle w:val="EndNoteBibliography"/>
        <w:spacing w:after="0"/>
        <w:ind w:left="720" w:hanging="72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6</w:t>
      </w:r>
      <w:bookmarkStart w:id="0" w:name="_GoBack"/>
      <w:bookmarkEnd w:id="0"/>
      <w:r w:rsidR="00B47CC3" w:rsidRPr="00B901AE">
        <w:rPr>
          <w:rFonts w:ascii="Arial" w:hAnsi="Arial" w:cs="Arial"/>
          <w:sz w:val="16"/>
          <w:szCs w:val="20"/>
        </w:rPr>
        <w:t>.</w:t>
      </w:r>
      <w:r w:rsidR="00B47CC3" w:rsidRPr="00B901AE">
        <w:rPr>
          <w:rFonts w:ascii="Arial" w:hAnsi="Arial" w:cs="Arial"/>
          <w:sz w:val="16"/>
          <w:szCs w:val="20"/>
        </w:rPr>
        <w:tab/>
        <w:t>Facchin, A., V. Elie</w:t>
      </w:r>
      <w:r w:rsidR="00B47CC3" w:rsidRPr="00B901AE">
        <w:rPr>
          <w:rFonts w:ascii="Arial" w:hAnsi="Arial" w:cs="Arial"/>
          <w:i/>
          <w:sz w:val="16"/>
          <w:szCs w:val="20"/>
        </w:rPr>
        <w:t>, et al.</w:t>
      </w:r>
      <w:r w:rsidR="00B47CC3" w:rsidRPr="00B901AE">
        <w:rPr>
          <w:rFonts w:ascii="Arial" w:hAnsi="Arial" w:cs="Arial"/>
          <w:sz w:val="16"/>
          <w:szCs w:val="20"/>
        </w:rPr>
        <w:t xml:space="preserve">, Population pharmacokinetics of ganciclovir after valganciclovir in renal transplant children. </w:t>
      </w:r>
      <w:r w:rsidR="00B47CC3" w:rsidRPr="00B901AE">
        <w:rPr>
          <w:rFonts w:ascii="Arial" w:hAnsi="Arial" w:cs="Arial"/>
          <w:i/>
          <w:sz w:val="16"/>
          <w:szCs w:val="20"/>
        </w:rPr>
        <w:t>Antimicrob Agents Chemother</w:t>
      </w:r>
      <w:r w:rsidR="00B47CC3" w:rsidRPr="00B901AE">
        <w:rPr>
          <w:rFonts w:ascii="Arial" w:hAnsi="Arial" w:cs="Arial"/>
          <w:sz w:val="16"/>
          <w:szCs w:val="20"/>
        </w:rPr>
        <w:t>, 2019.</w:t>
      </w:r>
    </w:p>
    <w:p w:rsidR="00B47CC3" w:rsidRPr="0097466F" w:rsidRDefault="00B47CC3" w:rsidP="001B4EC1">
      <w:pPr>
        <w:spacing w:line="360" w:lineRule="auto"/>
        <w:jc w:val="both"/>
        <w:rPr>
          <w:rFonts w:ascii="Arial" w:eastAsia="宋体" w:hAnsi="Arial" w:cs="Arial"/>
          <w:sz w:val="20"/>
          <w:szCs w:val="20"/>
          <w:lang w:val="en-AU" w:eastAsia="en-US"/>
        </w:rPr>
      </w:pPr>
    </w:p>
    <w:sectPr w:rsidR="00B47CC3" w:rsidRPr="0097466F" w:rsidSect="0097466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BA" w:rsidRDefault="00DC34BA" w:rsidP="00DF5EEE">
      <w:pPr>
        <w:spacing w:after="0" w:line="240" w:lineRule="auto"/>
      </w:pPr>
      <w:r>
        <w:separator/>
      </w:r>
    </w:p>
  </w:endnote>
  <w:endnote w:type="continuationSeparator" w:id="0">
    <w:p w:rsidR="00DC34BA" w:rsidRDefault="00DC34BA" w:rsidP="00DF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BA" w:rsidRDefault="00DC34BA" w:rsidP="00DF5EEE">
      <w:pPr>
        <w:spacing w:after="0" w:line="240" w:lineRule="auto"/>
      </w:pPr>
      <w:r>
        <w:separator/>
      </w:r>
    </w:p>
  </w:footnote>
  <w:footnote w:type="continuationSeparator" w:id="0">
    <w:p w:rsidR="00DC34BA" w:rsidRDefault="00DC34BA" w:rsidP="00DF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0EAB"/>
    <w:multiLevelType w:val="hybridMultilevel"/>
    <w:tmpl w:val="E3C824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835AE"/>
    <w:multiLevelType w:val="hybridMultilevel"/>
    <w:tmpl w:val="75FE27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42EC9"/>
    <w:multiLevelType w:val="hybridMultilevel"/>
    <w:tmpl w:val="B0FE75D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A0382"/>
    <w:multiLevelType w:val="hybridMultilevel"/>
    <w:tmpl w:val="89108D1E"/>
    <w:lvl w:ilvl="0" w:tplc="6FAEC74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E56D4"/>
    <w:multiLevelType w:val="hybridMultilevel"/>
    <w:tmpl w:val="D9CCE666"/>
    <w:lvl w:ilvl="0" w:tplc="5CC45E9C">
      <w:start w:val="2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A41FD"/>
    <w:multiLevelType w:val="hybridMultilevel"/>
    <w:tmpl w:val="901E5A6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B67A6"/>
    <w:multiLevelType w:val="hybridMultilevel"/>
    <w:tmpl w:val="55B68302"/>
    <w:lvl w:ilvl="0" w:tplc="6FAEC74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BC4BBA"/>
    <w:multiLevelType w:val="hybridMultilevel"/>
    <w:tmpl w:val="C7D25B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4085B"/>
    <w:multiLevelType w:val="hybridMultilevel"/>
    <w:tmpl w:val="6FCC548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DMyNzAzNjU3M7RU0lEKTi0uzszPAykwqQUAwAPJRS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47CC3"/>
    <w:rsid w:val="00174160"/>
    <w:rsid w:val="00456807"/>
    <w:rsid w:val="0049288F"/>
    <w:rsid w:val="005A0BC1"/>
    <w:rsid w:val="0074721B"/>
    <w:rsid w:val="00764589"/>
    <w:rsid w:val="00812014"/>
    <w:rsid w:val="0097466F"/>
    <w:rsid w:val="009C0AF9"/>
    <w:rsid w:val="00B457B0"/>
    <w:rsid w:val="00B47CC3"/>
    <w:rsid w:val="00B901AE"/>
    <w:rsid w:val="00BE03D6"/>
    <w:rsid w:val="00D47594"/>
    <w:rsid w:val="00D64129"/>
    <w:rsid w:val="00DB0043"/>
    <w:rsid w:val="00DC34BA"/>
    <w:rsid w:val="00DD0BC3"/>
    <w:rsid w:val="00DF5EEE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E6836"/>
  <w15:chartTrackingRefBased/>
  <w15:docId w15:val="{1A91010F-52FB-42D2-90BB-8669650B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CC3"/>
    <w:rPr>
      <w:lang w:val="en-N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CC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47C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B47CC3"/>
    <w:rPr>
      <w:lang w:val="en-NZ"/>
    </w:rPr>
  </w:style>
  <w:style w:type="paragraph" w:styleId="a7">
    <w:name w:val="footer"/>
    <w:basedOn w:val="a"/>
    <w:link w:val="a8"/>
    <w:uiPriority w:val="99"/>
    <w:unhideWhenUsed/>
    <w:rsid w:val="00B47C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B47CC3"/>
    <w:rPr>
      <w:lang w:val="en-NZ"/>
    </w:rPr>
  </w:style>
  <w:style w:type="character" w:styleId="a9">
    <w:name w:val="annotation reference"/>
    <w:basedOn w:val="a0"/>
    <w:uiPriority w:val="99"/>
    <w:semiHidden/>
    <w:unhideWhenUsed/>
    <w:rsid w:val="00B47C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7CC3"/>
    <w:pPr>
      <w:spacing w:line="240" w:lineRule="auto"/>
    </w:pPr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B47CC3"/>
    <w:rPr>
      <w:sz w:val="20"/>
      <w:szCs w:val="20"/>
      <w:lang w:val="en-NZ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7CC3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47CC3"/>
    <w:rPr>
      <w:b/>
      <w:bCs/>
      <w:sz w:val="20"/>
      <w:szCs w:val="20"/>
      <w:lang w:val="en-NZ"/>
    </w:rPr>
  </w:style>
  <w:style w:type="paragraph" w:styleId="ae">
    <w:name w:val="Balloon Text"/>
    <w:basedOn w:val="a"/>
    <w:link w:val="af"/>
    <w:uiPriority w:val="99"/>
    <w:semiHidden/>
    <w:unhideWhenUsed/>
    <w:rsid w:val="00B47CC3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47CC3"/>
    <w:rPr>
      <w:rFonts w:ascii="Microsoft YaHei UI" w:eastAsia="Microsoft YaHei UI"/>
      <w:sz w:val="18"/>
      <w:szCs w:val="18"/>
      <w:lang w:val="en-NZ"/>
    </w:rPr>
  </w:style>
  <w:style w:type="paragraph" w:customStyle="1" w:styleId="EndNoteBibliographyTitle">
    <w:name w:val="EndNote Bibliography Title"/>
    <w:basedOn w:val="a"/>
    <w:link w:val="EndNoteBibliographyTitle0"/>
    <w:rsid w:val="00B47CC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B47CC3"/>
    <w:rPr>
      <w:rFonts w:ascii="Calibri" w:hAnsi="Calibri" w:cs="Calibri"/>
      <w:noProof/>
      <w:lang w:val="en-NZ"/>
    </w:rPr>
  </w:style>
  <w:style w:type="paragraph" w:customStyle="1" w:styleId="EndNoteBibliography">
    <w:name w:val="EndNote Bibliography"/>
    <w:basedOn w:val="a"/>
    <w:link w:val="EndNoteBibliography0"/>
    <w:rsid w:val="00B47CC3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0">
    <w:name w:val="EndNote Bibliography 字符"/>
    <w:basedOn w:val="a0"/>
    <w:link w:val="EndNoteBibliography"/>
    <w:rsid w:val="00B47CC3"/>
    <w:rPr>
      <w:rFonts w:ascii="Calibri" w:hAnsi="Calibri" w:cs="Calibri"/>
      <w:noProof/>
      <w:lang w:val="en-NZ"/>
    </w:rPr>
  </w:style>
  <w:style w:type="table" w:styleId="af0">
    <w:name w:val="Table Grid"/>
    <w:basedOn w:val="a1"/>
    <w:uiPriority w:val="39"/>
    <w:rsid w:val="00B4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B47CC3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B47CC3"/>
    <w:rPr>
      <w:color w:val="605E5C"/>
      <w:shd w:val="clear" w:color="auto" w:fill="E1DFDD"/>
    </w:rPr>
  </w:style>
  <w:style w:type="character" w:styleId="af3">
    <w:name w:val="Strong"/>
    <w:basedOn w:val="a0"/>
    <w:uiPriority w:val="22"/>
    <w:qFormat/>
    <w:rsid w:val="00B47CC3"/>
    <w:rPr>
      <w:b/>
      <w:bCs/>
    </w:rPr>
  </w:style>
  <w:style w:type="paragraph" w:styleId="af4">
    <w:name w:val="caption"/>
    <w:basedOn w:val="a"/>
    <w:next w:val="a"/>
    <w:uiPriority w:val="35"/>
    <w:unhideWhenUsed/>
    <w:qFormat/>
    <w:rsid w:val="00BE03D6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He</dc:creator>
  <cp:keywords/>
  <dc:description/>
  <cp:lastModifiedBy>Lucas He</cp:lastModifiedBy>
  <cp:revision>5</cp:revision>
  <dcterms:created xsi:type="dcterms:W3CDTF">2022-01-11T03:03:00Z</dcterms:created>
  <dcterms:modified xsi:type="dcterms:W3CDTF">2022-01-11T05:59:00Z</dcterms:modified>
</cp:coreProperties>
</file>