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4A4D" w14:textId="76A81690" w:rsidR="005F6E45" w:rsidRPr="005E504A" w:rsidRDefault="005F6E45" w:rsidP="005F6E45">
      <w:pPr>
        <w:jc w:val="center"/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</w:pPr>
      <w:r w:rsidRPr="005E504A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 xml:space="preserve">Population pharmacokinetics of cefazolin in maternal and umbilical cord sera and </w:t>
      </w:r>
      <w:r w:rsidR="004E40E2" w:rsidRPr="005E504A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 xml:space="preserve">target attainment in term </w:t>
      </w:r>
      <w:r w:rsidRPr="005E504A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>neonate</w:t>
      </w:r>
      <w:r w:rsidR="004E40E2" w:rsidRPr="005E504A">
        <w:rPr>
          <w:rFonts w:ascii="Arial" w:eastAsiaTheme="majorEastAsia" w:hAnsi="Arial" w:cs="Arial"/>
          <w:b/>
          <w:bCs/>
          <w:spacing w:val="-10"/>
          <w:kern w:val="28"/>
          <w:sz w:val="28"/>
          <w:szCs w:val="28"/>
          <w:lang w:val="en-US"/>
        </w:rPr>
        <w:t>s</w:t>
      </w:r>
    </w:p>
    <w:p w14:paraId="772F85ED" w14:textId="39BD9636" w:rsidR="00DB483E" w:rsidRPr="005E504A" w:rsidRDefault="005F6E45" w:rsidP="005E6545">
      <w:pPr>
        <w:rPr>
          <w:rFonts w:asciiTheme="minorBidi" w:hAnsiTheme="minorBidi"/>
          <w:sz w:val="20"/>
          <w:szCs w:val="20"/>
          <w:vertAlign w:val="subscript"/>
          <w:lang w:val="en-US"/>
        </w:rPr>
      </w:pPr>
      <w:r w:rsidRPr="005E504A">
        <w:rPr>
          <w:rFonts w:asciiTheme="minorBidi" w:hAnsiTheme="minorBidi"/>
          <w:sz w:val="20"/>
          <w:szCs w:val="20"/>
          <w:lang w:val="en-US"/>
        </w:rPr>
        <w:t>Omar Elkayal</w:t>
      </w:r>
      <w:r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1</w:t>
      </w:r>
      <w:r w:rsidRPr="005E504A">
        <w:rPr>
          <w:rFonts w:asciiTheme="minorBidi" w:hAnsiTheme="minorBidi"/>
          <w:sz w:val="20"/>
          <w:szCs w:val="20"/>
          <w:lang w:val="en-US"/>
        </w:rPr>
        <w:t xml:space="preserve">, MSc; Karel </w:t>
      </w:r>
      <w:proofErr w:type="spellStart"/>
      <w:r w:rsidRPr="005E504A">
        <w:rPr>
          <w:rFonts w:asciiTheme="minorBidi" w:hAnsiTheme="minorBidi"/>
          <w:sz w:val="20"/>
          <w:szCs w:val="20"/>
          <w:lang w:val="en-US"/>
        </w:rPr>
        <w:t>Allegaert</w:t>
      </w:r>
      <w:proofErr w:type="spellEnd"/>
      <w:r w:rsidR="003921BF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 xml:space="preserve"> </w:t>
      </w:r>
      <w:r w:rsidR="00DB483E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2</w:t>
      </w:r>
      <w:r w:rsidR="003921BF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,</w:t>
      </w:r>
      <w:r w:rsidR="00CE5474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3</w:t>
      </w:r>
      <w:r w:rsidRPr="005E504A">
        <w:rPr>
          <w:rFonts w:asciiTheme="minorBidi" w:hAnsiTheme="minorBidi"/>
          <w:sz w:val="20"/>
          <w:szCs w:val="20"/>
          <w:lang w:val="en-US"/>
        </w:rPr>
        <w:t>, MD, PhD; Isabel Spriet</w:t>
      </w:r>
      <w:r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1,</w:t>
      </w:r>
      <w:r w:rsidR="001F3555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2</w:t>
      </w:r>
      <w:r w:rsidRPr="005E504A">
        <w:rPr>
          <w:rFonts w:asciiTheme="minorBidi" w:hAnsiTheme="minorBidi"/>
          <w:sz w:val="20"/>
          <w:szCs w:val="20"/>
          <w:lang w:val="en-US"/>
        </w:rPr>
        <w:t>, PharmD, PhD; Anne Smits</w:t>
      </w:r>
      <w:r w:rsidR="001F3555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1</w:t>
      </w:r>
      <w:r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,</w:t>
      </w:r>
      <w:r w:rsidR="001F3555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2</w:t>
      </w:r>
      <w:r w:rsidRPr="005E504A">
        <w:rPr>
          <w:rFonts w:asciiTheme="minorBidi" w:hAnsiTheme="minorBidi"/>
          <w:sz w:val="20"/>
          <w:szCs w:val="20"/>
          <w:lang w:val="en-US"/>
        </w:rPr>
        <w:t>, MD, PhD;</w:t>
      </w:r>
      <w:r w:rsidR="00613CB9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="00613CB9" w:rsidRPr="005E504A">
        <w:rPr>
          <w:rFonts w:asciiTheme="minorBidi" w:hAnsiTheme="minorBidi"/>
          <w:sz w:val="20"/>
          <w:szCs w:val="20"/>
          <w:lang w:val="en-US"/>
        </w:rPr>
        <w:t>Seghaye</w:t>
      </w:r>
      <w:proofErr w:type="spellEnd"/>
      <w:r w:rsidR="00613CB9" w:rsidRPr="005E504A">
        <w:rPr>
          <w:rFonts w:asciiTheme="minorBidi" w:hAnsiTheme="minorBidi"/>
          <w:sz w:val="20"/>
          <w:szCs w:val="20"/>
          <w:lang w:val="en-US"/>
        </w:rPr>
        <w:t xml:space="preserve"> Marie-Christine</w:t>
      </w:r>
      <w:r w:rsidR="00613CB9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4</w:t>
      </w:r>
      <w:r w:rsidR="00613CB9" w:rsidRPr="005E504A">
        <w:rPr>
          <w:rFonts w:asciiTheme="minorBidi" w:hAnsiTheme="minorBidi"/>
          <w:sz w:val="20"/>
          <w:szCs w:val="20"/>
          <w:lang w:val="en-US"/>
        </w:rPr>
        <w:t>, MD, PhD; Corinne Charlier</w:t>
      </w:r>
      <w:r w:rsidR="00CE5474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4</w:t>
      </w:r>
      <w:r w:rsidR="00613CB9" w:rsidRPr="005E504A">
        <w:rPr>
          <w:rFonts w:asciiTheme="minorBidi" w:hAnsiTheme="minorBidi"/>
          <w:sz w:val="20"/>
          <w:szCs w:val="20"/>
          <w:lang w:val="en-US"/>
        </w:rPr>
        <w:t>, MD, PhD; Erwin Dreesen</w:t>
      </w:r>
      <w:r w:rsidR="00613CB9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1,</w:t>
      </w:r>
      <w:r w:rsidR="00CE5474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5</w:t>
      </w:r>
      <w:r w:rsidR="00613CB9" w:rsidRPr="005E504A">
        <w:rPr>
          <w:rFonts w:asciiTheme="minorBidi" w:hAnsiTheme="minorBidi"/>
          <w:sz w:val="20"/>
          <w:szCs w:val="20"/>
          <w:lang w:val="en-US"/>
        </w:rPr>
        <w:t>, PharmD, PhD</w:t>
      </w:r>
    </w:p>
    <w:p w14:paraId="2125969E" w14:textId="59C1B2BB" w:rsidR="00F03CE9" w:rsidRPr="005E504A" w:rsidRDefault="00DB483E" w:rsidP="00F03CE9">
      <w:pPr>
        <w:rPr>
          <w:rFonts w:ascii="Times New Roman" w:eastAsia="Times New Roman" w:hAnsi="Times New Roman" w:cs="Times New Roman"/>
          <w:lang w:val="en-US"/>
        </w:rPr>
      </w:pPr>
      <w:r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1</w:t>
      </w:r>
      <w:r w:rsidR="001F3555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5E504A">
        <w:rPr>
          <w:rFonts w:asciiTheme="minorBidi" w:hAnsiTheme="minorBidi"/>
          <w:sz w:val="20"/>
          <w:szCs w:val="20"/>
          <w:lang w:val="en-US"/>
        </w:rPr>
        <w:t>KU Leuven, Belgium</w:t>
      </w:r>
      <w:r w:rsidR="001F3555" w:rsidRPr="005E504A">
        <w:rPr>
          <w:rFonts w:asciiTheme="minorBidi" w:hAnsiTheme="minorBidi"/>
          <w:sz w:val="20"/>
          <w:szCs w:val="20"/>
          <w:lang w:val="en-US"/>
        </w:rPr>
        <w:t>,</w:t>
      </w:r>
      <w:r w:rsidR="001F3555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 xml:space="preserve"> 2</w:t>
      </w:r>
      <w:r w:rsidR="001F3555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5E504A">
        <w:rPr>
          <w:rFonts w:asciiTheme="minorBidi" w:hAnsiTheme="minorBidi"/>
          <w:sz w:val="20"/>
          <w:szCs w:val="20"/>
          <w:lang w:val="en-US"/>
        </w:rPr>
        <w:t xml:space="preserve">University Hospitals Leuven, </w:t>
      </w:r>
      <w:r w:rsidR="001F3555" w:rsidRPr="005E504A">
        <w:rPr>
          <w:rFonts w:asciiTheme="minorBidi" w:hAnsiTheme="minorBidi"/>
          <w:sz w:val="20"/>
          <w:szCs w:val="20"/>
          <w:lang w:val="en-US"/>
        </w:rPr>
        <w:t>Belgium,</w:t>
      </w:r>
      <w:r w:rsidR="00CE5474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CE5474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 xml:space="preserve">3 </w:t>
      </w:r>
      <w:r w:rsidR="00CE5474" w:rsidRPr="005E504A">
        <w:rPr>
          <w:rFonts w:asciiTheme="minorBidi" w:hAnsiTheme="minorBidi"/>
          <w:sz w:val="20"/>
          <w:szCs w:val="20"/>
          <w:lang w:val="en-US"/>
        </w:rPr>
        <w:t>Erasmus MC, Rotterdam,</w:t>
      </w:r>
      <w:r w:rsidR="00613CB9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 xml:space="preserve"> </w:t>
      </w:r>
      <w:r w:rsidR="00CE5474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4</w:t>
      </w:r>
      <w:r w:rsidR="00613CB9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 xml:space="preserve"> </w:t>
      </w:r>
      <w:r w:rsidR="00613CB9" w:rsidRPr="005E504A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Centre </w:t>
      </w:r>
      <w:proofErr w:type="spellStart"/>
      <w:r w:rsidR="00613CB9" w:rsidRPr="005E504A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  <w:lang w:val="en-US"/>
        </w:rPr>
        <w:t>Hospitalier</w:t>
      </w:r>
      <w:proofErr w:type="spellEnd"/>
      <w:r w:rsidR="00613CB9" w:rsidRPr="005E504A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13CB9" w:rsidRPr="005E504A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  <w:lang w:val="en-US"/>
        </w:rPr>
        <w:t>Universitaire</w:t>
      </w:r>
      <w:proofErr w:type="spellEnd"/>
      <w:r w:rsidR="00613CB9" w:rsidRPr="005E504A">
        <w:rPr>
          <w:rFonts w:asciiTheme="minorBidi" w:eastAsia="Times New Roman" w:hAnsiTheme="minorBidi"/>
          <w:color w:val="000000" w:themeColor="text1"/>
          <w:sz w:val="20"/>
          <w:szCs w:val="20"/>
          <w:shd w:val="clear" w:color="auto" w:fill="FFFFFF"/>
          <w:lang w:val="en-US"/>
        </w:rPr>
        <w:t xml:space="preserve"> de Liège – CHU, </w:t>
      </w:r>
      <w:r w:rsidR="00613CB9" w:rsidRPr="005E504A">
        <w:rPr>
          <w:rFonts w:asciiTheme="minorBidi" w:hAnsiTheme="minorBidi"/>
          <w:sz w:val="20"/>
          <w:szCs w:val="20"/>
          <w:lang w:val="en-US"/>
        </w:rPr>
        <w:t>Belgium</w:t>
      </w:r>
      <w:r w:rsidR="0092763F" w:rsidRPr="005E504A">
        <w:rPr>
          <w:rFonts w:asciiTheme="minorBidi" w:hAnsiTheme="minorBidi"/>
          <w:sz w:val="20"/>
          <w:szCs w:val="20"/>
          <w:lang w:val="en-US"/>
        </w:rPr>
        <w:t>,</w:t>
      </w:r>
      <w:r w:rsidR="00CE5474" w:rsidRPr="005E504A">
        <w:rPr>
          <w:rFonts w:ascii="Verdana" w:eastAsia="Times New Roman" w:hAnsi="Verdana" w:cs="Times New Roman"/>
          <w:i/>
          <w:iCs/>
          <w:color w:val="000000" w:themeColor="text1"/>
          <w:sz w:val="15"/>
          <w:szCs w:val="15"/>
          <w:shd w:val="clear" w:color="auto" w:fill="FFFFFF"/>
          <w:lang w:val="en-US"/>
        </w:rPr>
        <w:t xml:space="preserve"> </w:t>
      </w:r>
      <w:r w:rsidR="00CE5474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 xml:space="preserve">5 </w:t>
      </w:r>
      <w:r w:rsidR="00CE5474" w:rsidRPr="005E504A">
        <w:rPr>
          <w:rFonts w:asciiTheme="minorBidi" w:hAnsiTheme="minorBidi"/>
          <w:sz w:val="20"/>
          <w:szCs w:val="20"/>
          <w:lang w:val="en-US"/>
        </w:rPr>
        <w:t>Uppsala University, Sweden.</w:t>
      </w:r>
    </w:p>
    <w:p w14:paraId="579A46F8" w14:textId="6040727E" w:rsidR="00DB483E" w:rsidRPr="005E504A" w:rsidRDefault="001F3555" w:rsidP="005E6545">
      <w:pPr>
        <w:rPr>
          <w:rFonts w:asciiTheme="minorBidi" w:hAnsiTheme="minorBidi"/>
          <w:sz w:val="20"/>
          <w:szCs w:val="20"/>
          <w:lang w:val="en-US"/>
        </w:rPr>
      </w:pPr>
      <w:r w:rsidRPr="005E504A">
        <w:rPr>
          <w:rFonts w:asciiTheme="minorBidi" w:hAnsiTheme="minorBidi"/>
          <w:sz w:val="20"/>
          <w:szCs w:val="20"/>
          <w:lang w:val="en-US"/>
        </w:rPr>
        <w:t>Corresponding a</w:t>
      </w:r>
      <w:r w:rsidR="00DB483E" w:rsidRPr="005E504A">
        <w:rPr>
          <w:rFonts w:asciiTheme="minorBidi" w:hAnsiTheme="minorBidi"/>
          <w:sz w:val="20"/>
          <w:szCs w:val="20"/>
          <w:lang w:val="en-US"/>
        </w:rPr>
        <w:t xml:space="preserve">uthors: </w:t>
      </w:r>
      <w:hyperlink r:id="rId7" w:history="1">
        <w:r w:rsidR="00DB483E" w:rsidRPr="005E504A">
          <w:rPr>
            <w:rStyle w:val="Hyperlink"/>
            <w:rFonts w:asciiTheme="minorBidi" w:hAnsiTheme="minorBidi"/>
            <w:sz w:val="20"/>
            <w:szCs w:val="20"/>
            <w:lang w:val="en-US"/>
          </w:rPr>
          <w:t>omar.elkayal@kuleuven.be</w:t>
        </w:r>
      </w:hyperlink>
      <w:r w:rsidR="00DB483E" w:rsidRPr="005E504A">
        <w:rPr>
          <w:rFonts w:asciiTheme="minorBidi" w:hAnsiTheme="minorBidi"/>
          <w:sz w:val="20"/>
          <w:szCs w:val="20"/>
          <w:lang w:val="en-US"/>
        </w:rPr>
        <w:t xml:space="preserve">, </w:t>
      </w:r>
      <w:hyperlink r:id="rId8" w:history="1">
        <w:r w:rsidR="00DB483E" w:rsidRPr="005E504A">
          <w:rPr>
            <w:rStyle w:val="Hyperlink"/>
            <w:rFonts w:asciiTheme="minorBidi" w:hAnsiTheme="minorBidi"/>
            <w:sz w:val="20"/>
            <w:szCs w:val="20"/>
            <w:lang w:val="en-US"/>
          </w:rPr>
          <w:t>erwin.dreesen@kuleuven.be</w:t>
        </w:r>
      </w:hyperlink>
      <w:r w:rsidR="00DB483E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</w:p>
    <w:p w14:paraId="05BED801" w14:textId="005A4828" w:rsidR="00A855AC" w:rsidRPr="005E504A" w:rsidRDefault="00DB483E" w:rsidP="00953F83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5E504A">
        <w:rPr>
          <w:rFonts w:asciiTheme="minorBidi" w:hAnsiTheme="minorBidi"/>
          <w:b/>
          <w:bCs/>
          <w:sz w:val="20"/>
          <w:szCs w:val="20"/>
          <w:lang w:val="en-US"/>
        </w:rPr>
        <w:t>Background:</w:t>
      </w:r>
      <w:r w:rsidR="00D833E1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A855AC" w:rsidRPr="005E504A">
        <w:rPr>
          <w:rFonts w:asciiTheme="minorBidi" w:hAnsiTheme="minorBidi"/>
          <w:sz w:val="20"/>
          <w:szCs w:val="20"/>
          <w:lang w:val="en-US"/>
        </w:rPr>
        <w:t xml:space="preserve">Intrapartum administration of cefazolin, a first-generation cephalosporin, is used to prevent vertical transmission of Group B Streptococcus (GBS) in mothers allergic to penicillin without a history of anaphylaxis. </w:t>
      </w:r>
      <w:r w:rsidR="00806679" w:rsidRPr="005E504A">
        <w:rPr>
          <w:rFonts w:asciiTheme="minorBidi" w:hAnsiTheme="minorBidi"/>
          <w:sz w:val="20"/>
          <w:szCs w:val="20"/>
          <w:lang w:val="en-US"/>
        </w:rPr>
        <w:t xml:space="preserve">Early onset sepsis in the </w:t>
      </w:r>
      <w:r w:rsidR="006A2DC6" w:rsidRPr="005E504A">
        <w:rPr>
          <w:rFonts w:asciiTheme="minorBidi" w:hAnsiTheme="minorBidi"/>
          <w:sz w:val="20"/>
          <w:szCs w:val="20"/>
          <w:lang w:val="en-US"/>
        </w:rPr>
        <w:t>new-born</w:t>
      </w:r>
      <w:r w:rsidR="00806679" w:rsidRPr="005E504A">
        <w:rPr>
          <w:rFonts w:asciiTheme="minorBidi" w:hAnsiTheme="minorBidi"/>
          <w:sz w:val="20"/>
          <w:szCs w:val="20"/>
          <w:lang w:val="en-US"/>
        </w:rPr>
        <w:t xml:space="preserve"> following transmission</w:t>
      </w:r>
      <w:r w:rsidR="00887835" w:rsidRPr="005E504A">
        <w:rPr>
          <w:rFonts w:asciiTheme="minorBidi" w:hAnsiTheme="minorBidi"/>
          <w:sz w:val="20"/>
          <w:szCs w:val="20"/>
          <w:lang w:val="en-US"/>
        </w:rPr>
        <w:t xml:space="preserve"> of GBS</w:t>
      </w:r>
      <w:r w:rsidR="00A855AC" w:rsidRPr="005E504A">
        <w:rPr>
          <w:rFonts w:asciiTheme="minorBidi" w:hAnsiTheme="minorBidi"/>
          <w:sz w:val="20"/>
          <w:szCs w:val="20"/>
          <w:lang w:val="en-US"/>
        </w:rPr>
        <w:t xml:space="preserve"> during labor or birth </w:t>
      </w:r>
      <w:r w:rsidR="00887835" w:rsidRPr="005E504A">
        <w:rPr>
          <w:rFonts w:asciiTheme="minorBidi" w:hAnsiTheme="minorBidi"/>
          <w:sz w:val="20"/>
          <w:szCs w:val="20"/>
          <w:lang w:val="en-US"/>
        </w:rPr>
        <w:t xml:space="preserve">may be prevented when </w:t>
      </w:r>
      <w:r w:rsidR="009578E0" w:rsidRPr="005E504A">
        <w:rPr>
          <w:rFonts w:asciiTheme="minorBidi" w:hAnsiTheme="minorBidi"/>
          <w:sz w:val="20"/>
          <w:szCs w:val="20"/>
          <w:lang w:val="en-US"/>
        </w:rPr>
        <w:t xml:space="preserve">exposure to </w:t>
      </w:r>
      <w:r w:rsidR="00887835" w:rsidRPr="005E504A">
        <w:rPr>
          <w:rFonts w:asciiTheme="minorBidi" w:hAnsiTheme="minorBidi"/>
          <w:sz w:val="20"/>
          <w:szCs w:val="20"/>
          <w:lang w:val="en-US"/>
        </w:rPr>
        <w:t xml:space="preserve">unbound cefazolin in the neonate </w:t>
      </w:r>
      <w:r w:rsidR="00F278EB">
        <w:rPr>
          <w:rFonts w:asciiTheme="minorBidi" w:hAnsiTheme="minorBidi"/>
          <w:sz w:val="20"/>
          <w:szCs w:val="20"/>
          <w:lang w:val="en-US"/>
        </w:rPr>
        <w:t>serum</w:t>
      </w:r>
      <w:r w:rsidR="00F278EB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887835" w:rsidRPr="005E504A">
        <w:rPr>
          <w:rFonts w:asciiTheme="minorBidi" w:hAnsiTheme="minorBidi"/>
          <w:sz w:val="20"/>
          <w:szCs w:val="20"/>
          <w:lang w:val="en-US"/>
        </w:rPr>
        <w:t xml:space="preserve">exceeds </w:t>
      </w:r>
      <w:r w:rsidR="005E504A">
        <w:rPr>
          <w:rFonts w:asciiTheme="minorBidi" w:hAnsiTheme="minorBidi"/>
          <w:sz w:val="20"/>
          <w:szCs w:val="20"/>
          <w:lang w:val="en-US"/>
        </w:rPr>
        <w:t>1 mg/L (</w:t>
      </w:r>
      <w:r w:rsidR="00030E09" w:rsidRPr="005E504A">
        <w:rPr>
          <w:rFonts w:asciiTheme="minorBidi" w:hAnsiTheme="minorBidi"/>
          <w:sz w:val="20"/>
          <w:szCs w:val="20"/>
          <w:lang w:val="en-US"/>
        </w:rPr>
        <w:t>worst-case</w:t>
      </w:r>
      <w:r w:rsidR="00887835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0102A3" w:rsidRPr="005E504A">
        <w:rPr>
          <w:rFonts w:asciiTheme="minorBidi" w:hAnsiTheme="minorBidi"/>
          <w:sz w:val="20"/>
          <w:szCs w:val="20"/>
          <w:lang w:val="en-US"/>
        </w:rPr>
        <w:t>clinical breakpoint</w:t>
      </w:r>
      <w:r w:rsidR="005E504A">
        <w:rPr>
          <w:rFonts w:asciiTheme="minorBidi" w:hAnsiTheme="minorBidi"/>
          <w:sz w:val="20"/>
          <w:szCs w:val="20"/>
          <w:lang w:val="en-US"/>
        </w:rPr>
        <w:t>)</w:t>
      </w:r>
      <w:r w:rsidR="000102A3" w:rsidRPr="005E504A">
        <w:rPr>
          <w:rFonts w:asciiTheme="minorBidi" w:hAnsiTheme="minorBidi"/>
          <w:sz w:val="20"/>
          <w:szCs w:val="20"/>
          <w:lang w:val="en-US"/>
        </w:rPr>
        <w:t xml:space="preserve">. </w:t>
      </w:r>
      <w:r w:rsidR="00806679" w:rsidRPr="005E504A">
        <w:rPr>
          <w:rFonts w:asciiTheme="minorBidi" w:hAnsiTheme="minorBidi"/>
          <w:sz w:val="20"/>
          <w:szCs w:val="20"/>
          <w:lang w:val="en-US"/>
        </w:rPr>
        <w:t>To date, no information is available on</w:t>
      </w:r>
      <w:r w:rsidR="009578E0" w:rsidRPr="005E504A">
        <w:rPr>
          <w:rFonts w:asciiTheme="minorBidi" w:hAnsiTheme="minorBidi"/>
          <w:sz w:val="20"/>
          <w:szCs w:val="20"/>
          <w:lang w:val="en-US"/>
        </w:rPr>
        <w:t xml:space="preserve"> the predelivery maternal cefazolin dose-exposure relationship and</w:t>
      </w:r>
      <w:r w:rsidR="00806679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9578E0" w:rsidRPr="005E504A">
        <w:rPr>
          <w:rFonts w:asciiTheme="minorBidi" w:hAnsiTheme="minorBidi"/>
          <w:sz w:val="20"/>
          <w:szCs w:val="20"/>
          <w:lang w:val="en-US"/>
        </w:rPr>
        <w:t>subsequent</w:t>
      </w:r>
      <w:r w:rsidR="008F6D08" w:rsidRPr="005E504A">
        <w:rPr>
          <w:rFonts w:asciiTheme="minorBidi" w:hAnsiTheme="minorBidi"/>
          <w:sz w:val="20"/>
          <w:szCs w:val="20"/>
          <w:lang w:val="en-US"/>
        </w:rPr>
        <w:t xml:space="preserve"> post-delivery</w:t>
      </w:r>
      <w:r w:rsidR="009578E0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AE4168" w:rsidRPr="005E504A">
        <w:rPr>
          <w:rFonts w:asciiTheme="minorBidi" w:hAnsiTheme="minorBidi"/>
          <w:sz w:val="20"/>
          <w:szCs w:val="20"/>
          <w:lang w:val="en-US"/>
        </w:rPr>
        <w:t>duration of neonatal target attainment.</w:t>
      </w:r>
    </w:p>
    <w:p w14:paraId="542A5BFC" w14:textId="6CAA42A7" w:rsidR="00FF1E0A" w:rsidRPr="005E504A" w:rsidRDefault="00FF1E0A" w:rsidP="00953F83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5E504A">
        <w:rPr>
          <w:rFonts w:asciiTheme="minorBidi" w:hAnsiTheme="minorBidi"/>
          <w:b/>
          <w:bCs/>
          <w:sz w:val="20"/>
          <w:szCs w:val="20"/>
          <w:lang w:val="en-US"/>
        </w:rPr>
        <w:t xml:space="preserve">Objectives: </w:t>
      </w:r>
      <w:r w:rsidRPr="005E504A">
        <w:rPr>
          <w:rFonts w:asciiTheme="minorBidi" w:hAnsiTheme="minorBidi"/>
          <w:sz w:val="20"/>
          <w:szCs w:val="20"/>
          <w:lang w:val="en-US"/>
        </w:rPr>
        <w:t>The objectives of our work were (</w:t>
      </w:r>
      <w:proofErr w:type="spellStart"/>
      <w:r w:rsidRPr="005E504A">
        <w:rPr>
          <w:rFonts w:asciiTheme="minorBidi" w:hAnsiTheme="minorBidi"/>
          <w:sz w:val="20"/>
          <w:szCs w:val="20"/>
          <w:lang w:val="en-US"/>
        </w:rPr>
        <w:t>i</w:t>
      </w:r>
      <w:proofErr w:type="spellEnd"/>
      <w:r w:rsidRPr="005E504A">
        <w:rPr>
          <w:rFonts w:asciiTheme="minorBidi" w:hAnsiTheme="minorBidi"/>
          <w:sz w:val="20"/>
          <w:szCs w:val="20"/>
          <w:lang w:val="en-US"/>
        </w:rPr>
        <w:t>) to build a population pharmacokinetic</w:t>
      </w:r>
      <w:r w:rsidR="00C37FDE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5E504A">
        <w:rPr>
          <w:rFonts w:asciiTheme="minorBidi" w:hAnsiTheme="minorBidi"/>
          <w:sz w:val="20"/>
          <w:szCs w:val="20"/>
          <w:lang w:val="en-US"/>
        </w:rPr>
        <w:t>(</w:t>
      </w:r>
      <w:r w:rsidR="00806679" w:rsidRPr="005E504A">
        <w:rPr>
          <w:rFonts w:asciiTheme="minorBidi" w:hAnsiTheme="minorBidi"/>
          <w:sz w:val="20"/>
          <w:szCs w:val="20"/>
          <w:lang w:val="en-US"/>
        </w:rPr>
        <w:t>p</w:t>
      </w:r>
      <w:r w:rsidR="00C37FDE" w:rsidRPr="005E504A">
        <w:rPr>
          <w:rFonts w:asciiTheme="minorBidi" w:hAnsiTheme="minorBidi"/>
          <w:sz w:val="20"/>
          <w:szCs w:val="20"/>
          <w:lang w:val="en-US"/>
        </w:rPr>
        <w:t xml:space="preserve">opPK) model </w:t>
      </w:r>
      <w:r w:rsidR="00806679" w:rsidRPr="005E504A">
        <w:rPr>
          <w:rFonts w:asciiTheme="minorBidi" w:hAnsiTheme="minorBidi"/>
          <w:sz w:val="20"/>
          <w:szCs w:val="20"/>
          <w:lang w:val="en-US"/>
        </w:rPr>
        <w:t xml:space="preserve">of </w:t>
      </w:r>
      <w:r w:rsidR="00C37FDE" w:rsidRPr="005E504A">
        <w:rPr>
          <w:rFonts w:asciiTheme="minorBidi" w:hAnsiTheme="minorBidi"/>
          <w:sz w:val="20"/>
          <w:szCs w:val="20"/>
          <w:lang w:val="en-US"/>
        </w:rPr>
        <w:t xml:space="preserve">cefazolin </w:t>
      </w:r>
      <w:r w:rsidR="005202CD" w:rsidRPr="005E504A">
        <w:rPr>
          <w:rFonts w:asciiTheme="minorBidi" w:hAnsiTheme="minorBidi"/>
          <w:sz w:val="20"/>
          <w:szCs w:val="20"/>
          <w:lang w:val="en-US"/>
        </w:rPr>
        <w:t xml:space="preserve">based on </w:t>
      </w:r>
      <w:r w:rsidR="00C37FDE" w:rsidRPr="005E504A">
        <w:rPr>
          <w:rFonts w:asciiTheme="minorBidi" w:hAnsiTheme="minorBidi"/>
          <w:sz w:val="20"/>
          <w:szCs w:val="20"/>
          <w:lang w:val="en-US"/>
        </w:rPr>
        <w:t>maternal and umbilical cord ser</w:t>
      </w:r>
      <w:r w:rsidR="005202CD" w:rsidRPr="005E504A">
        <w:rPr>
          <w:rFonts w:asciiTheme="minorBidi" w:hAnsiTheme="minorBidi"/>
          <w:sz w:val="20"/>
          <w:szCs w:val="20"/>
          <w:lang w:val="en-US"/>
        </w:rPr>
        <w:t>um concentrations</w:t>
      </w:r>
      <w:r w:rsidR="00C37FDE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5202CD" w:rsidRPr="005E504A">
        <w:rPr>
          <w:rFonts w:asciiTheme="minorBidi" w:hAnsiTheme="minorBidi"/>
          <w:sz w:val="20"/>
          <w:szCs w:val="20"/>
          <w:lang w:val="en-US"/>
        </w:rPr>
        <w:t>obtained from</w:t>
      </w:r>
      <w:r w:rsidR="00C37FDE" w:rsidRPr="005E504A">
        <w:rPr>
          <w:rFonts w:asciiTheme="minorBidi" w:hAnsiTheme="minorBidi"/>
          <w:sz w:val="20"/>
          <w:szCs w:val="20"/>
          <w:lang w:val="en-US"/>
        </w:rPr>
        <w:t xml:space="preserve"> women undergoing vaginal delivery</w:t>
      </w:r>
      <w:r w:rsidR="00125F83" w:rsidRPr="005E504A">
        <w:rPr>
          <w:rFonts w:asciiTheme="minorBidi" w:hAnsiTheme="minorBidi"/>
          <w:sz w:val="20"/>
          <w:szCs w:val="20"/>
          <w:lang w:val="en-US"/>
        </w:rPr>
        <w:t xml:space="preserve"> and</w:t>
      </w:r>
      <w:r w:rsidR="00DD2E11" w:rsidRPr="005E504A">
        <w:rPr>
          <w:rFonts w:asciiTheme="minorBidi" w:hAnsiTheme="minorBidi"/>
          <w:sz w:val="20"/>
          <w:szCs w:val="20"/>
          <w:lang w:val="en-US"/>
        </w:rPr>
        <w:t xml:space="preserve"> (ii) to investigate duration of</w:t>
      </w:r>
      <w:r w:rsidR="008F6D08" w:rsidRPr="005E504A">
        <w:rPr>
          <w:rFonts w:asciiTheme="minorBidi" w:hAnsiTheme="minorBidi"/>
          <w:sz w:val="20"/>
          <w:szCs w:val="20"/>
          <w:lang w:val="en-US"/>
        </w:rPr>
        <w:t xml:space="preserve"> prophylaxis</w:t>
      </w:r>
      <w:r w:rsidR="00DD2E11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5202CD" w:rsidRPr="005E504A">
        <w:rPr>
          <w:rFonts w:asciiTheme="minorBidi" w:hAnsiTheme="minorBidi"/>
          <w:sz w:val="20"/>
          <w:szCs w:val="20"/>
          <w:lang w:val="en-US"/>
        </w:rPr>
        <w:t>target attainment</w:t>
      </w:r>
      <w:r w:rsidR="0023570F" w:rsidRPr="005E504A">
        <w:rPr>
          <w:rFonts w:asciiTheme="minorBidi" w:hAnsiTheme="minorBidi"/>
          <w:sz w:val="20"/>
          <w:szCs w:val="20"/>
          <w:lang w:val="en-US"/>
        </w:rPr>
        <w:t xml:space="preserve"> (time above 1 mg/L) </w:t>
      </w:r>
      <w:r w:rsidR="00C37FDE" w:rsidRPr="005E504A">
        <w:rPr>
          <w:rFonts w:asciiTheme="minorBidi" w:hAnsiTheme="minorBidi"/>
          <w:sz w:val="20"/>
          <w:szCs w:val="20"/>
          <w:lang w:val="en-US"/>
        </w:rPr>
        <w:t>in the neonates</w:t>
      </w:r>
      <w:r w:rsidR="001407DA" w:rsidRPr="005E504A">
        <w:rPr>
          <w:rFonts w:asciiTheme="minorBidi" w:hAnsiTheme="minorBidi"/>
          <w:sz w:val="20"/>
          <w:szCs w:val="20"/>
          <w:lang w:val="en-US"/>
        </w:rPr>
        <w:t>.</w:t>
      </w:r>
    </w:p>
    <w:p w14:paraId="4B0A5F07" w14:textId="58A53311" w:rsidR="00C37FDE" w:rsidRPr="00F278EB" w:rsidRDefault="00C37FDE" w:rsidP="00953F83">
      <w:pPr>
        <w:jc w:val="both"/>
        <w:rPr>
          <w:rFonts w:asciiTheme="minorBidi" w:hAnsiTheme="minorBidi"/>
          <w:strike/>
          <w:sz w:val="20"/>
          <w:szCs w:val="20"/>
          <w:lang w:val="en-US"/>
        </w:rPr>
      </w:pPr>
      <w:r w:rsidRPr="005E504A">
        <w:rPr>
          <w:rFonts w:asciiTheme="minorBidi" w:hAnsiTheme="minorBidi"/>
          <w:b/>
          <w:bCs/>
          <w:sz w:val="20"/>
          <w:szCs w:val="20"/>
          <w:lang w:val="en-US"/>
        </w:rPr>
        <w:t xml:space="preserve">Methods: </w:t>
      </w:r>
      <w:r w:rsidR="00E101BD" w:rsidRPr="005E504A">
        <w:rPr>
          <w:rFonts w:asciiTheme="minorBidi" w:hAnsiTheme="minorBidi"/>
          <w:sz w:val="20"/>
          <w:szCs w:val="20"/>
          <w:lang w:val="en-US"/>
        </w:rPr>
        <w:t xml:space="preserve">Data were obtained from 24 </w:t>
      </w:r>
      <w:r w:rsidR="00D3069C" w:rsidRPr="005E504A">
        <w:rPr>
          <w:rFonts w:asciiTheme="minorBidi" w:hAnsiTheme="minorBidi"/>
          <w:sz w:val="20"/>
          <w:szCs w:val="20"/>
          <w:lang w:val="en-US"/>
        </w:rPr>
        <w:t>health</w:t>
      </w:r>
      <w:r w:rsidR="00D473E2" w:rsidRPr="005E504A">
        <w:rPr>
          <w:rFonts w:asciiTheme="minorBidi" w:hAnsiTheme="minorBidi"/>
          <w:sz w:val="20"/>
          <w:szCs w:val="20"/>
          <w:lang w:val="en-US"/>
        </w:rPr>
        <w:t>y</w:t>
      </w:r>
      <w:r w:rsidR="00D3069C" w:rsidRPr="005E504A">
        <w:rPr>
          <w:rFonts w:asciiTheme="minorBidi" w:hAnsiTheme="minorBidi"/>
          <w:sz w:val="20"/>
          <w:szCs w:val="20"/>
          <w:lang w:val="en-US"/>
        </w:rPr>
        <w:t xml:space="preserve"> pregnant women</w:t>
      </w:r>
      <w:r w:rsidR="001407DA" w:rsidRPr="005E504A">
        <w:rPr>
          <w:rFonts w:asciiTheme="minorBidi" w:hAnsiTheme="minorBidi"/>
          <w:sz w:val="20"/>
          <w:szCs w:val="20"/>
          <w:lang w:val="en-US"/>
        </w:rPr>
        <w:t xml:space="preserve">, </w:t>
      </w:r>
      <w:r w:rsidR="00D3069C" w:rsidRPr="005E504A">
        <w:rPr>
          <w:rFonts w:asciiTheme="minorBidi" w:hAnsiTheme="minorBidi"/>
          <w:sz w:val="20"/>
          <w:szCs w:val="20"/>
          <w:lang w:val="en-US"/>
        </w:rPr>
        <w:t>between 20 and 41 years old</w:t>
      </w:r>
      <w:r w:rsidR="001407DA" w:rsidRPr="005E504A">
        <w:rPr>
          <w:rFonts w:asciiTheme="minorBidi" w:hAnsiTheme="minorBidi"/>
          <w:sz w:val="20"/>
          <w:szCs w:val="20"/>
          <w:lang w:val="en-US"/>
        </w:rPr>
        <w:t xml:space="preserve">. </w:t>
      </w:r>
      <w:r w:rsidR="00D3069C" w:rsidRPr="005E504A">
        <w:rPr>
          <w:rFonts w:asciiTheme="minorBidi" w:hAnsiTheme="minorBidi"/>
          <w:sz w:val="20"/>
          <w:szCs w:val="20"/>
          <w:lang w:val="en-US"/>
        </w:rPr>
        <w:t xml:space="preserve">All women were colonized by GBS and gave vaginal </w:t>
      </w:r>
      <w:r w:rsidR="00592676" w:rsidRPr="005E504A">
        <w:rPr>
          <w:rFonts w:asciiTheme="minorBidi" w:hAnsiTheme="minorBidi"/>
          <w:sz w:val="20"/>
          <w:szCs w:val="20"/>
          <w:lang w:val="en-US"/>
        </w:rPr>
        <w:t xml:space="preserve">delivery. The minimum gestational age was 32 weeks. </w:t>
      </w:r>
      <w:r w:rsidR="00125F83" w:rsidRPr="005E504A">
        <w:rPr>
          <w:rFonts w:asciiTheme="minorBidi" w:hAnsiTheme="minorBidi"/>
          <w:sz w:val="20"/>
          <w:szCs w:val="20"/>
          <w:lang w:val="en-US"/>
        </w:rPr>
        <w:t>Before delivery, t</w:t>
      </w:r>
      <w:r w:rsidR="00592676" w:rsidRPr="005E504A">
        <w:rPr>
          <w:rFonts w:asciiTheme="minorBidi" w:hAnsiTheme="minorBidi"/>
          <w:sz w:val="20"/>
          <w:szCs w:val="20"/>
          <w:lang w:val="en-US"/>
        </w:rPr>
        <w:t xml:space="preserve">he women </w:t>
      </w:r>
      <w:r w:rsidR="00125F83" w:rsidRPr="005E504A">
        <w:rPr>
          <w:rFonts w:asciiTheme="minorBidi" w:hAnsiTheme="minorBidi"/>
          <w:sz w:val="20"/>
          <w:szCs w:val="20"/>
          <w:lang w:val="en-US"/>
        </w:rPr>
        <w:t>received a 2 g cefazolin intravenous infusion over 30 minutes.</w:t>
      </w:r>
      <w:r w:rsidR="00592676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125F83" w:rsidRPr="005E504A">
        <w:rPr>
          <w:rFonts w:asciiTheme="minorBidi" w:hAnsiTheme="minorBidi"/>
          <w:sz w:val="20"/>
          <w:szCs w:val="20"/>
          <w:lang w:val="en-US"/>
        </w:rPr>
        <w:t xml:space="preserve">If no delivery </w:t>
      </w:r>
      <w:r w:rsidR="00DD2E11" w:rsidRPr="005E504A">
        <w:rPr>
          <w:rFonts w:asciiTheme="minorBidi" w:hAnsiTheme="minorBidi"/>
          <w:sz w:val="20"/>
          <w:szCs w:val="20"/>
          <w:lang w:val="en-US"/>
        </w:rPr>
        <w:t xml:space="preserve">occurred </w:t>
      </w:r>
      <w:r w:rsidR="00125F83" w:rsidRPr="005E504A">
        <w:rPr>
          <w:rFonts w:asciiTheme="minorBidi" w:hAnsiTheme="minorBidi"/>
          <w:sz w:val="20"/>
          <w:szCs w:val="20"/>
          <w:lang w:val="en-US"/>
        </w:rPr>
        <w:t>eight hours after infusion, a</w:t>
      </w:r>
      <w:r w:rsidR="00592676" w:rsidRPr="005E504A">
        <w:rPr>
          <w:rFonts w:asciiTheme="minorBidi" w:hAnsiTheme="minorBidi"/>
          <w:sz w:val="20"/>
          <w:szCs w:val="20"/>
          <w:lang w:val="en-US"/>
        </w:rPr>
        <w:t xml:space="preserve"> second 1 g cefazolin </w:t>
      </w:r>
      <w:r w:rsidR="00125F83" w:rsidRPr="005E504A">
        <w:rPr>
          <w:rFonts w:asciiTheme="minorBidi" w:hAnsiTheme="minorBidi"/>
          <w:sz w:val="20"/>
          <w:szCs w:val="20"/>
          <w:lang w:val="en-US"/>
        </w:rPr>
        <w:t>infusion was given over 15 minutes</w:t>
      </w:r>
      <w:r w:rsidR="004A45B7" w:rsidRPr="005E504A">
        <w:rPr>
          <w:rFonts w:asciiTheme="minorBidi" w:hAnsiTheme="minorBidi"/>
          <w:sz w:val="20"/>
          <w:szCs w:val="20"/>
          <w:lang w:val="en-US"/>
        </w:rPr>
        <w:t xml:space="preserve"> (8/24 cases)</w:t>
      </w:r>
      <w:r w:rsidR="00592676" w:rsidRPr="005E504A">
        <w:rPr>
          <w:rFonts w:asciiTheme="minorBidi" w:hAnsiTheme="minorBidi"/>
          <w:sz w:val="20"/>
          <w:szCs w:val="20"/>
          <w:lang w:val="en-US"/>
        </w:rPr>
        <w:t xml:space="preserve">. Maternal </w:t>
      </w:r>
      <w:r w:rsidR="00E742AC">
        <w:rPr>
          <w:rFonts w:asciiTheme="minorBidi" w:hAnsiTheme="minorBidi"/>
          <w:sz w:val="20"/>
          <w:szCs w:val="20"/>
          <w:lang w:val="en-US"/>
        </w:rPr>
        <w:t xml:space="preserve">serum </w:t>
      </w:r>
      <w:r w:rsidR="005E6545" w:rsidRPr="005E504A">
        <w:rPr>
          <w:rFonts w:asciiTheme="minorBidi" w:hAnsiTheme="minorBidi"/>
          <w:sz w:val="20"/>
          <w:szCs w:val="20"/>
          <w:lang w:val="en-US"/>
        </w:rPr>
        <w:t xml:space="preserve">concentrations </w:t>
      </w:r>
      <w:r w:rsidR="00592676" w:rsidRPr="005E504A">
        <w:rPr>
          <w:rFonts w:asciiTheme="minorBidi" w:hAnsiTheme="minorBidi"/>
          <w:sz w:val="20"/>
          <w:szCs w:val="20"/>
          <w:lang w:val="en-US"/>
        </w:rPr>
        <w:t>w</w:t>
      </w:r>
      <w:r w:rsidR="005E6545" w:rsidRPr="005E504A">
        <w:rPr>
          <w:rFonts w:asciiTheme="minorBidi" w:hAnsiTheme="minorBidi"/>
          <w:sz w:val="20"/>
          <w:szCs w:val="20"/>
          <w:lang w:val="en-US"/>
        </w:rPr>
        <w:t xml:space="preserve">ere obtained </w:t>
      </w:r>
      <w:r w:rsidR="00E645F8" w:rsidRPr="005E504A">
        <w:rPr>
          <w:rFonts w:asciiTheme="minorBidi" w:hAnsiTheme="minorBidi"/>
          <w:sz w:val="20"/>
          <w:szCs w:val="20"/>
          <w:lang w:val="en-US"/>
        </w:rPr>
        <w:t xml:space="preserve">according to a fixed sampling scheme with 10 samples per dosing </w:t>
      </w:r>
      <w:r w:rsidR="00EC0ECC" w:rsidRPr="005E504A">
        <w:rPr>
          <w:rFonts w:asciiTheme="minorBidi" w:hAnsiTheme="minorBidi"/>
          <w:sz w:val="20"/>
          <w:szCs w:val="20"/>
          <w:lang w:val="en-US"/>
        </w:rPr>
        <w:t>interval (until delivery</w:t>
      </w:r>
      <w:r w:rsidR="0097374E" w:rsidRPr="005E504A">
        <w:rPr>
          <w:rFonts w:asciiTheme="minorBidi" w:hAnsiTheme="minorBidi"/>
          <w:sz w:val="20"/>
          <w:szCs w:val="20"/>
          <w:lang w:val="en-US"/>
        </w:rPr>
        <w:t>), plus an additional sample right after delivery</w:t>
      </w:r>
      <w:r w:rsidR="00DD2E11" w:rsidRPr="005E504A">
        <w:rPr>
          <w:rFonts w:asciiTheme="minorBidi" w:hAnsiTheme="minorBidi"/>
          <w:sz w:val="20"/>
          <w:szCs w:val="20"/>
          <w:lang w:val="en-US"/>
        </w:rPr>
        <w:t xml:space="preserve">. </w:t>
      </w:r>
      <w:r w:rsidR="00EC0ECC" w:rsidRPr="005E504A">
        <w:rPr>
          <w:rFonts w:asciiTheme="minorBidi" w:hAnsiTheme="minorBidi"/>
          <w:sz w:val="20"/>
          <w:szCs w:val="20"/>
          <w:lang w:val="en-US"/>
        </w:rPr>
        <w:t xml:space="preserve">Next to </w:t>
      </w:r>
      <w:r w:rsidR="00DD2E11" w:rsidRPr="005E504A">
        <w:rPr>
          <w:rFonts w:asciiTheme="minorBidi" w:hAnsiTheme="minorBidi"/>
          <w:sz w:val="20"/>
          <w:szCs w:val="20"/>
          <w:lang w:val="en-US"/>
        </w:rPr>
        <w:t xml:space="preserve">maternal </w:t>
      </w:r>
      <w:r w:rsidR="00F278EB">
        <w:rPr>
          <w:rFonts w:asciiTheme="minorBidi" w:hAnsiTheme="minorBidi"/>
          <w:sz w:val="20"/>
          <w:szCs w:val="20"/>
          <w:lang w:val="en-US"/>
        </w:rPr>
        <w:t xml:space="preserve">serum </w:t>
      </w:r>
      <w:r w:rsidR="00AE4168" w:rsidRPr="005E504A">
        <w:rPr>
          <w:rFonts w:asciiTheme="minorBidi" w:hAnsiTheme="minorBidi"/>
          <w:sz w:val="20"/>
          <w:szCs w:val="20"/>
          <w:lang w:val="en-US"/>
        </w:rPr>
        <w:t>samples, arterial</w:t>
      </w:r>
      <w:r w:rsidR="00C9210A" w:rsidRPr="005E504A">
        <w:rPr>
          <w:rFonts w:asciiTheme="minorBidi" w:hAnsiTheme="minorBidi"/>
          <w:sz w:val="20"/>
          <w:szCs w:val="20"/>
          <w:lang w:val="en-US"/>
        </w:rPr>
        <w:t xml:space="preserve"> and venous umbilical cord</w:t>
      </w:r>
      <w:r w:rsidR="000A213A" w:rsidRPr="005E504A">
        <w:rPr>
          <w:rFonts w:asciiTheme="minorBidi" w:hAnsiTheme="minorBidi"/>
          <w:sz w:val="20"/>
          <w:szCs w:val="20"/>
          <w:lang w:val="en-US"/>
        </w:rPr>
        <w:t xml:space="preserve"> blood </w:t>
      </w:r>
      <w:r w:rsidR="00F03CE9" w:rsidRPr="005E504A">
        <w:rPr>
          <w:rFonts w:asciiTheme="minorBidi" w:hAnsiTheme="minorBidi"/>
          <w:sz w:val="20"/>
          <w:szCs w:val="20"/>
          <w:lang w:val="en-US"/>
        </w:rPr>
        <w:t>samples were</w:t>
      </w:r>
      <w:r w:rsidR="00DD2E11" w:rsidRPr="005E504A">
        <w:rPr>
          <w:rFonts w:asciiTheme="minorBidi" w:hAnsiTheme="minorBidi"/>
          <w:sz w:val="20"/>
          <w:szCs w:val="20"/>
          <w:lang w:val="en-US"/>
        </w:rPr>
        <w:t xml:space="preserve"> collected in 12/24 cases, at </w:t>
      </w:r>
      <w:r w:rsidR="000A213A" w:rsidRPr="005E504A">
        <w:rPr>
          <w:rFonts w:asciiTheme="minorBidi" w:hAnsiTheme="minorBidi"/>
          <w:sz w:val="20"/>
          <w:szCs w:val="20"/>
          <w:lang w:val="en-US"/>
        </w:rPr>
        <w:t>delivery</w:t>
      </w:r>
      <w:r w:rsidR="00C9210A" w:rsidRPr="005E504A">
        <w:rPr>
          <w:rFonts w:asciiTheme="minorBidi" w:hAnsiTheme="minorBidi"/>
          <w:sz w:val="20"/>
          <w:szCs w:val="20"/>
          <w:lang w:val="en-US"/>
        </w:rPr>
        <w:t xml:space="preserve">. </w:t>
      </w:r>
      <w:r w:rsidR="00F74FD4" w:rsidRPr="005E504A">
        <w:rPr>
          <w:rFonts w:asciiTheme="minorBidi" w:hAnsiTheme="minorBidi"/>
          <w:sz w:val="20"/>
          <w:szCs w:val="20"/>
          <w:lang w:val="en-US"/>
        </w:rPr>
        <w:t xml:space="preserve">Cefazolin concentrations were determined using high-pressure liquid chromatography. </w:t>
      </w:r>
      <w:r w:rsidR="00463ED6" w:rsidRPr="005E504A">
        <w:rPr>
          <w:rFonts w:asciiTheme="minorBidi" w:hAnsiTheme="minorBidi"/>
          <w:sz w:val="20"/>
          <w:szCs w:val="20"/>
          <w:lang w:val="en-US"/>
        </w:rPr>
        <w:t xml:space="preserve">A maternal popPK model of cefazolin was built. </w:t>
      </w:r>
      <w:r w:rsidR="00EC0ECC" w:rsidRPr="005E504A">
        <w:rPr>
          <w:rFonts w:asciiTheme="minorBidi" w:hAnsiTheme="minorBidi"/>
          <w:sz w:val="20"/>
          <w:szCs w:val="20"/>
          <w:lang w:val="en-US"/>
        </w:rPr>
        <w:t>Subsequent n</w:t>
      </w:r>
      <w:r w:rsidR="00463ED6" w:rsidRPr="005E504A">
        <w:rPr>
          <w:rFonts w:asciiTheme="minorBidi" w:hAnsiTheme="minorBidi"/>
          <w:sz w:val="20"/>
          <w:szCs w:val="20"/>
          <w:lang w:val="en-US"/>
        </w:rPr>
        <w:t xml:space="preserve">eonatal exposure was predicted using </w:t>
      </w:r>
      <w:r w:rsidR="0097374E" w:rsidRPr="005E504A">
        <w:rPr>
          <w:rFonts w:asciiTheme="minorBidi" w:hAnsiTheme="minorBidi"/>
          <w:sz w:val="20"/>
          <w:szCs w:val="20"/>
          <w:lang w:val="en-US"/>
        </w:rPr>
        <w:t>Monte Carlo simulations</w:t>
      </w:r>
      <w:r w:rsidR="002977F1">
        <w:rPr>
          <w:rFonts w:asciiTheme="minorBidi" w:hAnsiTheme="minorBidi"/>
          <w:sz w:val="20"/>
          <w:szCs w:val="20"/>
          <w:lang w:val="en-US"/>
        </w:rPr>
        <w:t xml:space="preserve"> (</w:t>
      </w:r>
      <w:r w:rsidR="002977F1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="002977F1">
        <w:rPr>
          <w:rFonts w:asciiTheme="minorBidi" w:hAnsiTheme="minorBidi"/>
          <w:sz w:val="20"/>
          <w:szCs w:val="20"/>
          <w:lang w:val="en-US"/>
        </w:rPr>
        <w:t>=</w:t>
      </w:r>
      <w:r w:rsidR="00960C40">
        <w:rPr>
          <w:rFonts w:asciiTheme="minorBidi" w:hAnsiTheme="minorBidi"/>
          <w:sz w:val="20"/>
          <w:szCs w:val="20"/>
          <w:lang w:val="en-US"/>
        </w:rPr>
        <w:t>1000</w:t>
      </w:r>
      <w:r w:rsidR="002977F1">
        <w:rPr>
          <w:rFonts w:asciiTheme="minorBidi" w:hAnsiTheme="minorBidi"/>
          <w:sz w:val="20"/>
          <w:szCs w:val="20"/>
          <w:lang w:val="en-US"/>
        </w:rPr>
        <w:t>)</w:t>
      </w:r>
      <w:r w:rsidR="00463ED6" w:rsidRPr="005E504A">
        <w:rPr>
          <w:rFonts w:asciiTheme="minorBidi" w:hAnsiTheme="minorBidi"/>
          <w:sz w:val="20"/>
          <w:szCs w:val="20"/>
          <w:lang w:val="en-US"/>
        </w:rPr>
        <w:t xml:space="preserve"> with the arterial umbilical cord concentration at delivery </w:t>
      </w:r>
      <w:r w:rsidR="00EC0ECC" w:rsidRPr="005E504A">
        <w:rPr>
          <w:rFonts w:asciiTheme="minorBidi" w:hAnsiTheme="minorBidi"/>
          <w:sz w:val="20"/>
          <w:szCs w:val="20"/>
          <w:lang w:val="en-US"/>
        </w:rPr>
        <w:t xml:space="preserve">– </w:t>
      </w:r>
      <w:r w:rsidR="00463ED6" w:rsidRPr="005E504A">
        <w:rPr>
          <w:rFonts w:asciiTheme="minorBidi" w:hAnsiTheme="minorBidi"/>
          <w:sz w:val="20"/>
          <w:szCs w:val="20"/>
          <w:lang w:val="en-US"/>
        </w:rPr>
        <w:t xml:space="preserve">predicted from the maternal model </w:t>
      </w:r>
      <w:r w:rsidR="00EC0ECC" w:rsidRPr="005E504A">
        <w:rPr>
          <w:rFonts w:asciiTheme="minorBidi" w:hAnsiTheme="minorBidi"/>
          <w:sz w:val="20"/>
          <w:szCs w:val="20"/>
          <w:lang w:val="en-US"/>
        </w:rPr>
        <w:t xml:space="preserve">– </w:t>
      </w:r>
      <w:r w:rsidR="00463ED6" w:rsidRPr="005E504A">
        <w:rPr>
          <w:rFonts w:asciiTheme="minorBidi" w:hAnsiTheme="minorBidi"/>
          <w:sz w:val="20"/>
          <w:szCs w:val="20"/>
          <w:lang w:val="en-US"/>
        </w:rPr>
        <w:t xml:space="preserve">and the neonatal cefazolin model of De Cock </w:t>
      </w:r>
      <w:r w:rsidR="00463ED6" w:rsidRPr="005E504A">
        <w:rPr>
          <w:rFonts w:asciiTheme="minorBidi" w:hAnsiTheme="minorBidi"/>
          <w:i/>
          <w:iCs/>
          <w:sz w:val="20"/>
          <w:szCs w:val="20"/>
          <w:lang w:val="en-US"/>
        </w:rPr>
        <w:t>et al</w:t>
      </w:r>
      <w:r w:rsidR="00463ED6" w:rsidRPr="005E504A">
        <w:rPr>
          <w:rFonts w:asciiTheme="minorBidi" w:hAnsiTheme="minorBidi"/>
          <w:sz w:val="20"/>
          <w:szCs w:val="20"/>
          <w:lang w:val="en-US"/>
        </w:rPr>
        <w:t>. (assuming elimination</w:t>
      </w:r>
      <w:r w:rsidR="009D5563" w:rsidRPr="005E504A">
        <w:rPr>
          <w:rFonts w:asciiTheme="minorBidi" w:hAnsiTheme="minorBidi"/>
          <w:sz w:val="20"/>
          <w:szCs w:val="20"/>
          <w:lang w:val="en-US"/>
        </w:rPr>
        <w:t xml:space="preserve"> only</w:t>
      </w:r>
      <w:r w:rsidR="00463ED6" w:rsidRPr="005E504A">
        <w:rPr>
          <w:rFonts w:asciiTheme="minorBidi" w:hAnsiTheme="minorBidi"/>
          <w:sz w:val="20"/>
          <w:szCs w:val="20"/>
          <w:lang w:val="en-US"/>
        </w:rPr>
        <w:t>)</w:t>
      </w:r>
      <w:r w:rsidR="009B6385" w:rsidRPr="005E504A">
        <w:rPr>
          <w:rFonts w:asciiTheme="minorBidi" w:hAnsiTheme="minorBidi"/>
          <w:sz w:val="20"/>
          <w:szCs w:val="20"/>
          <w:lang w:val="en-US"/>
        </w:rPr>
        <w:t>.</w:t>
      </w:r>
      <w:r w:rsidR="00206E9B" w:rsidRPr="005E504A">
        <w:rPr>
          <w:rFonts w:asciiTheme="minorBidi" w:hAnsiTheme="minorBidi"/>
          <w:sz w:val="20"/>
          <w:szCs w:val="20"/>
          <w:vertAlign w:val="superscript"/>
          <w:lang w:val="en-US"/>
        </w:rPr>
        <w:t>1</w:t>
      </w:r>
      <w:r w:rsidR="009B6385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CC1D0B" w:rsidRPr="00F278EB">
        <w:rPr>
          <w:rFonts w:asciiTheme="minorBidi" w:hAnsiTheme="minorBidi"/>
          <w:sz w:val="20"/>
          <w:szCs w:val="20"/>
          <w:lang w:val="en-US"/>
        </w:rPr>
        <w:t>Albumin and body weight w</w:t>
      </w:r>
      <w:r w:rsidR="000F4896" w:rsidRPr="00F278EB">
        <w:rPr>
          <w:rFonts w:asciiTheme="minorBidi" w:hAnsiTheme="minorBidi"/>
          <w:sz w:val="20"/>
          <w:szCs w:val="20"/>
          <w:lang w:val="en-US"/>
        </w:rPr>
        <w:t>ere</w:t>
      </w:r>
      <w:r w:rsidR="00CC1D0B" w:rsidRPr="00F278EB">
        <w:rPr>
          <w:rFonts w:asciiTheme="minorBidi" w:hAnsiTheme="minorBidi"/>
          <w:sz w:val="20"/>
          <w:szCs w:val="20"/>
          <w:lang w:val="en-US"/>
        </w:rPr>
        <w:t xml:space="preserve"> sampled </w:t>
      </w:r>
      <w:r w:rsidR="00CC1D0B" w:rsidRPr="00F278EB">
        <w:rPr>
          <w:rFonts w:asciiTheme="minorBidi" w:hAnsiTheme="minorBidi"/>
          <w:color w:val="000000"/>
          <w:sz w:val="20"/>
          <w:szCs w:val="20"/>
          <w:lang w:val="en-US"/>
        </w:rPr>
        <w:t xml:space="preserve">from a uniform distribution within the </w:t>
      </w:r>
      <w:r w:rsidR="000F4896" w:rsidRPr="00F278EB">
        <w:rPr>
          <w:rFonts w:asciiTheme="minorBidi" w:hAnsiTheme="minorBidi"/>
          <w:color w:val="000000"/>
          <w:sz w:val="20"/>
          <w:szCs w:val="20"/>
          <w:lang w:val="en-US"/>
        </w:rPr>
        <w:t xml:space="preserve">data </w:t>
      </w:r>
      <w:r w:rsidR="00CC1D0B" w:rsidRPr="00F278EB">
        <w:rPr>
          <w:rFonts w:asciiTheme="minorBidi" w:hAnsiTheme="minorBidi"/>
          <w:color w:val="000000"/>
          <w:sz w:val="20"/>
          <w:szCs w:val="20"/>
          <w:lang w:val="en-US"/>
        </w:rPr>
        <w:t xml:space="preserve">range </w:t>
      </w:r>
      <w:r w:rsidR="003D7D5B" w:rsidRPr="00F278EB">
        <w:rPr>
          <w:rFonts w:asciiTheme="minorBidi" w:hAnsiTheme="minorBidi"/>
          <w:color w:val="000000"/>
          <w:sz w:val="20"/>
          <w:szCs w:val="20"/>
          <w:lang w:val="en-US"/>
        </w:rPr>
        <w:t xml:space="preserve">reported by </w:t>
      </w:r>
      <w:r w:rsidR="00CC1D0B" w:rsidRPr="00F278EB">
        <w:rPr>
          <w:rFonts w:asciiTheme="minorBidi" w:hAnsiTheme="minorBidi"/>
          <w:sz w:val="20"/>
          <w:szCs w:val="20"/>
          <w:lang w:val="en-US"/>
        </w:rPr>
        <w:t xml:space="preserve">De Cock </w:t>
      </w:r>
      <w:r w:rsidR="00CC1D0B" w:rsidRPr="00F278EB">
        <w:rPr>
          <w:rFonts w:asciiTheme="minorBidi" w:hAnsiTheme="minorBidi"/>
          <w:i/>
          <w:iCs/>
          <w:sz w:val="20"/>
          <w:szCs w:val="20"/>
          <w:lang w:val="en-US"/>
        </w:rPr>
        <w:t>et al</w:t>
      </w:r>
      <w:r w:rsidR="00CC1D0B" w:rsidRPr="00F278EB">
        <w:rPr>
          <w:rFonts w:asciiTheme="minorBidi" w:hAnsiTheme="minorBidi"/>
          <w:color w:val="000000"/>
          <w:sz w:val="20"/>
          <w:szCs w:val="20"/>
          <w:lang w:val="en-US"/>
        </w:rPr>
        <w:t>.</w:t>
      </w:r>
      <w:r w:rsidR="00CC1D0B" w:rsidRPr="00F278EB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463ED6" w:rsidRPr="00F278EB">
        <w:rPr>
          <w:rFonts w:asciiTheme="minorBidi" w:hAnsiTheme="minorBidi"/>
          <w:sz w:val="20"/>
          <w:szCs w:val="20"/>
          <w:lang w:val="en-US"/>
        </w:rPr>
        <w:t xml:space="preserve">All </w:t>
      </w:r>
      <w:r w:rsidR="006556F6" w:rsidRPr="00F278EB">
        <w:rPr>
          <w:rFonts w:asciiTheme="minorBidi" w:hAnsiTheme="minorBidi"/>
          <w:sz w:val="20"/>
          <w:szCs w:val="20"/>
          <w:lang w:val="en-US"/>
        </w:rPr>
        <w:t>modeling</w:t>
      </w:r>
      <w:r w:rsidR="00C9210A" w:rsidRPr="00F278EB">
        <w:rPr>
          <w:rFonts w:asciiTheme="minorBidi" w:hAnsiTheme="minorBidi"/>
          <w:sz w:val="20"/>
          <w:szCs w:val="20"/>
          <w:lang w:val="en-US"/>
        </w:rPr>
        <w:t xml:space="preserve"> and simulation were performed using NONMEM 7.4</w:t>
      </w:r>
      <w:r w:rsidR="009B6385" w:rsidRPr="00F278EB">
        <w:rPr>
          <w:rFonts w:asciiTheme="minorBidi" w:hAnsiTheme="minorBidi"/>
          <w:sz w:val="20"/>
          <w:szCs w:val="20"/>
          <w:lang w:val="en-US"/>
        </w:rPr>
        <w:t>.</w:t>
      </w:r>
    </w:p>
    <w:p w14:paraId="5DC7ABC2" w14:textId="63C7438A" w:rsidR="00A86566" w:rsidRPr="005E504A" w:rsidRDefault="00C9210A" w:rsidP="00953F83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5E504A">
        <w:rPr>
          <w:rFonts w:asciiTheme="minorBidi" w:hAnsiTheme="minorBidi"/>
          <w:b/>
          <w:bCs/>
          <w:sz w:val="20"/>
          <w:szCs w:val="20"/>
          <w:lang w:val="en-US"/>
        </w:rPr>
        <w:t xml:space="preserve">Results: </w:t>
      </w:r>
      <w:r w:rsidR="008332D0" w:rsidRPr="005E504A">
        <w:rPr>
          <w:rFonts w:asciiTheme="minorBidi" w:hAnsiTheme="minorBidi"/>
          <w:sz w:val="20"/>
          <w:szCs w:val="20"/>
          <w:lang w:val="en-US"/>
        </w:rPr>
        <w:t xml:space="preserve">The </w:t>
      </w:r>
      <w:r w:rsidR="00F74FD4" w:rsidRPr="005E504A">
        <w:rPr>
          <w:rFonts w:asciiTheme="minorBidi" w:hAnsiTheme="minorBidi"/>
          <w:sz w:val="20"/>
          <w:szCs w:val="20"/>
          <w:lang w:val="en-US"/>
        </w:rPr>
        <w:t>pop</w:t>
      </w:r>
      <w:r w:rsidR="008332D0" w:rsidRPr="005E504A">
        <w:rPr>
          <w:rFonts w:asciiTheme="minorBidi" w:hAnsiTheme="minorBidi"/>
          <w:sz w:val="20"/>
          <w:szCs w:val="20"/>
          <w:lang w:val="en-US"/>
        </w:rPr>
        <w:t>PK of cefazolin</w:t>
      </w:r>
      <w:r w:rsidR="00DF2F7E" w:rsidRPr="005E504A">
        <w:rPr>
          <w:rFonts w:asciiTheme="minorBidi" w:hAnsiTheme="minorBidi"/>
          <w:sz w:val="20"/>
          <w:szCs w:val="20"/>
          <w:lang w:val="en-US"/>
        </w:rPr>
        <w:t xml:space="preserve"> in 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 xml:space="preserve">pregnant </w:t>
      </w:r>
      <w:r w:rsidR="00DF2F7E" w:rsidRPr="005E504A">
        <w:rPr>
          <w:rFonts w:asciiTheme="minorBidi" w:hAnsiTheme="minorBidi"/>
          <w:sz w:val="20"/>
          <w:szCs w:val="20"/>
          <w:lang w:val="en-US"/>
        </w:rPr>
        <w:t>mother</w:t>
      </w:r>
      <w:r w:rsidR="00F74FD4" w:rsidRPr="005E504A">
        <w:rPr>
          <w:rFonts w:asciiTheme="minorBidi" w:hAnsiTheme="minorBidi"/>
          <w:sz w:val="20"/>
          <w:szCs w:val="20"/>
          <w:lang w:val="en-US"/>
        </w:rPr>
        <w:t>s</w:t>
      </w:r>
      <w:r w:rsidR="008332D0" w:rsidRPr="005E504A">
        <w:rPr>
          <w:rFonts w:asciiTheme="minorBidi" w:hAnsiTheme="minorBidi"/>
          <w:sz w:val="20"/>
          <w:szCs w:val="20"/>
          <w:lang w:val="en-US"/>
        </w:rPr>
        <w:t xml:space="preserve"> was adequately described by a </w:t>
      </w:r>
      <w:r w:rsidR="004E1C45" w:rsidRPr="005E504A">
        <w:rPr>
          <w:rFonts w:asciiTheme="minorBidi" w:hAnsiTheme="minorBidi"/>
          <w:sz w:val="20"/>
          <w:szCs w:val="20"/>
          <w:lang w:val="en-US"/>
        </w:rPr>
        <w:t>two-compartment model with</w:t>
      </w:r>
      <w:r w:rsidR="00AC67E5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590452" w:rsidRPr="005E504A">
        <w:rPr>
          <w:rFonts w:asciiTheme="minorBidi" w:hAnsiTheme="minorBidi"/>
          <w:sz w:val="20"/>
          <w:szCs w:val="20"/>
          <w:lang w:val="en-US"/>
        </w:rPr>
        <w:t xml:space="preserve">first-order elimination. 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>None of the tested covariates (</w:t>
      </w:r>
      <w:r w:rsidR="00590452" w:rsidRPr="005E504A">
        <w:rPr>
          <w:rFonts w:asciiTheme="minorBidi" w:hAnsiTheme="minorBidi"/>
          <w:sz w:val="20"/>
          <w:szCs w:val="20"/>
          <w:lang w:val="en-US"/>
        </w:rPr>
        <w:t xml:space="preserve">body </w:t>
      </w:r>
      <w:r w:rsidR="00206E9B" w:rsidRPr="005E504A">
        <w:rPr>
          <w:rFonts w:asciiTheme="minorBidi" w:hAnsiTheme="minorBidi"/>
          <w:sz w:val="20"/>
          <w:szCs w:val="20"/>
          <w:lang w:val="en-US"/>
        </w:rPr>
        <w:t>weight</w:t>
      </w:r>
      <w:r w:rsidR="00590452" w:rsidRPr="005E504A">
        <w:rPr>
          <w:rFonts w:asciiTheme="minorBidi" w:hAnsiTheme="minorBidi"/>
          <w:sz w:val="20"/>
          <w:szCs w:val="20"/>
          <w:lang w:val="en-US"/>
        </w:rPr>
        <w:t xml:space="preserve"> and gestational age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>)</w:t>
      </w:r>
      <w:r w:rsidR="00590452" w:rsidRPr="005E504A">
        <w:rPr>
          <w:rFonts w:asciiTheme="minorBidi" w:hAnsiTheme="minorBidi"/>
          <w:sz w:val="20"/>
          <w:szCs w:val="20"/>
          <w:lang w:val="en-US"/>
        </w:rPr>
        <w:t xml:space="preserve"> were retained in a stepwise covariate analysis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 xml:space="preserve"> (α</w:t>
      </w:r>
      <w:r w:rsidR="00FA62AF" w:rsidRPr="005E504A">
        <w:rPr>
          <w:rFonts w:asciiTheme="minorBidi" w:hAnsiTheme="minorBidi"/>
          <w:sz w:val="20"/>
          <w:szCs w:val="20"/>
          <w:vertAlign w:val="subscript"/>
          <w:lang w:val="en-US"/>
        </w:rPr>
        <w:t>forward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>=</w:t>
      </w:r>
      <w:r w:rsidR="006556F6" w:rsidRPr="005E504A">
        <w:rPr>
          <w:rFonts w:asciiTheme="minorBidi" w:hAnsiTheme="minorBidi"/>
          <w:sz w:val="20"/>
          <w:szCs w:val="20"/>
          <w:lang w:val="en-US"/>
        </w:rPr>
        <w:t>0.010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>, α</w:t>
      </w:r>
      <w:r w:rsidR="00FA62AF" w:rsidRPr="005E504A">
        <w:rPr>
          <w:rFonts w:asciiTheme="minorBidi" w:hAnsiTheme="minorBidi"/>
          <w:sz w:val="20"/>
          <w:szCs w:val="20"/>
          <w:vertAlign w:val="subscript"/>
          <w:lang w:val="en-US"/>
        </w:rPr>
        <w:t>backward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>=</w:t>
      </w:r>
      <w:r w:rsidR="006556F6" w:rsidRPr="005E504A">
        <w:rPr>
          <w:rFonts w:asciiTheme="minorBidi" w:hAnsiTheme="minorBidi"/>
          <w:sz w:val="20"/>
          <w:szCs w:val="20"/>
          <w:lang w:val="en-US"/>
        </w:rPr>
        <w:t>0.001</w:t>
      </w:r>
      <w:r w:rsidR="00FA62AF" w:rsidRPr="005E504A">
        <w:rPr>
          <w:rFonts w:asciiTheme="minorBidi" w:hAnsiTheme="minorBidi"/>
          <w:sz w:val="20"/>
          <w:szCs w:val="20"/>
          <w:lang w:val="en-US"/>
        </w:rPr>
        <w:t>)</w:t>
      </w:r>
      <w:r w:rsidR="00590452" w:rsidRPr="005E504A">
        <w:rPr>
          <w:rFonts w:asciiTheme="minorBidi" w:hAnsiTheme="minorBidi"/>
          <w:sz w:val="20"/>
          <w:szCs w:val="20"/>
          <w:lang w:val="en-US"/>
        </w:rPr>
        <w:t>.</w:t>
      </w:r>
      <w:r w:rsidR="00AC67E5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206E9B" w:rsidRPr="005E504A">
        <w:rPr>
          <w:rFonts w:asciiTheme="minorBidi" w:hAnsiTheme="minorBidi"/>
          <w:sz w:val="20"/>
          <w:szCs w:val="20"/>
          <w:lang w:val="en-US"/>
        </w:rPr>
        <w:t>Subsequently</w:t>
      </w:r>
      <w:r w:rsidR="00A86566" w:rsidRPr="005E504A">
        <w:rPr>
          <w:rFonts w:asciiTheme="minorBidi" w:hAnsiTheme="minorBidi"/>
          <w:sz w:val="20"/>
          <w:szCs w:val="20"/>
          <w:lang w:val="en-US"/>
        </w:rPr>
        <w:t xml:space="preserve">, </w:t>
      </w:r>
      <w:r w:rsidR="00DF2F7E" w:rsidRPr="005E504A">
        <w:rPr>
          <w:rFonts w:asciiTheme="minorBidi" w:hAnsiTheme="minorBidi"/>
          <w:sz w:val="20"/>
          <w:szCs w:val="20"/>
          <w:lang w:val="en-US"/>
        </w:rPr>
        <w:t xml:space="preserve">two additional compartments were added to resemble the arterial (neonatal) and venous umbilical </w:t>
      </w:r>
      <w:r w:rsidR="00206E9B" w:rsidRPr="005E504A">
        <w:rPr>
          <w:rFonts w:asciiTheme="minorBidi" w:hAnsiTheme="minorBidi"/>
          <w:sz w:val="20"/>
          <w:szCs w:val="20"/>
          <w:lang w:val="en-US"/>
        </w:rPr>
        <w:t>cord</w:t>
      </w:r>
      <w:r w:rsidR="008962A0" w:rsidRPr="005E504A">
        <w:rPr>
          <w:rFonts w:asciiTheme="minorBidi" w:hAnsiTheme="minorBidi"/>
          <w:sz w:val="20"/>
          <w:szCs w:val="20"/>
          <w:lang w:val="en-US"/>
        </w:rPr>
        <w:t xml:space="preserve"> (</w:t>
      </w:r>
      <w:r w:rsidR="008962A0" w:rsidRPr="005E504A">
        <w:rPr>
          <w:rFonts w:asciiTheme="minorBidi" w:hAnsiTheme="minorBidi"/>
          <w:b/>
          <w:bCs/>
          <w:sz w:val="20"/>
          <w:szCs w:val="20"/>
          <w:lang w:val="en-US"/>
        </w:rPr>
        <w:t>Figure 1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>; left</w:t>
      </w:r>
      <w:r w:rsidR="008962A0" w:rsidRPr="005E504A">
        <w:rPr>
          <w:rFonts w:asciiTheme="minorBidi" w:hAnsiTheme="minorBidi"/>
          <w:sz w:val="20"/>
          <w:szCs w:val="20"/>
          <w:lang w:val="en-US"/>
        </w:rPr>
        <w:t>)</w:t>
      </w:r>
      <w:r w:rsidR="00DF2F7E" w:rsidRPr="005E504A">
        <w:rPr>
          <w:rFonts w:asciiTheme="minorBidi" w:hAnsiTheme="minorBidi"/>
          <w:sz w:val="20"/>
          <w:szCs w:val="20"/>
          <w:lang w:val="en-US"/>
        </w:rPr>
        <w:t>.</w:t>
      </w:r>
      <w:r w:rsidR="009F151C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>S</w:t>
      </w:r>
      <w:r w:rsidR="00C5774D" w:rsidRPr="005E504A">
        <w:rPr>
          <w:rFonts w:asciiTheme="minorBidi" w:hAnsiTheme="minorBidi"/>
          <w:sz w:val="20"/>
          <w:szCs w:val="20"/>
          <w:lang w:val="en-US"/>
        </w:rPr>
        <w:t xml:space="preserve">imulations showed 90% </w:t>
      </w:r>
      <w:r w:rsidR="0050592F" w:rsidRPr="005E504A">
        <w:rPr>
          <w:rFonts w:asciiTheme="minorBidi" w:hAnsiTheme="minorBidi"/>
          <w:sz w:val="20"/>
          <w:szCs w:val="20"/>
          <w:lang w:val="en-US"/>
        </w:rPr>
        <w:t xml:space="preserve">attainment </w:t>
      </w:r>
      <w:r w:rsidR="0054642E" w:rsidRPr="005E504A">
        <w:rPr>
          <w:rFonts w:asciiTheme="minorBidi" w:hAnsiTheme="minorBidi"/>
          <w:sz w:val="20"/>
          <w:szCs w:val="20"/>
          <w:lang w:val="en-US"/>
        </w:rPr>
        <w:t xml:space="preserve">of </w:t>
      </w:r>
      <w:r w:rsidR="0050592F" w:rsidRPr="005E504A">
        <w:rPr>
          <w:rFonts w:asciiTheme="minorBidi" w:hAnsiTheme="minorBidi"/>
          <w:sz w:val="20"/>
          <w:szCs w:val="20"/>
          <w:lang w:val="en-US"/>
        </w:rPr>
        <w:t>the</w:t>
      </w:r>
      <w:r w:rsidR="0054642E" w:rsidRPr="005E504A">
        <w:rPr>
          <w:rFonts w:asciiTheme="minorBidi" w:hAnsiTheme="minorBidi"/>
          <w:sz w:val="20"/>
          <w:szCs w:val="20"/>
          <w:lang w:val="en-US"/>
        </w:rPr>
        <w:t xml:space="preserve"> 1 mg/L</w:t>
      </w:r>
      <w:r w:rsidR="0050592F" w:rsidRPr="005E504A">
        <w:rPr>
          <w:rFonts w:asciiTheme="minorBidi" w:hAnsiTheme="minorBidi"/>
          <w:sz w:val="20"/>
          <w:szCs w:val="20"/>
          <w:lang w:val="en-US"/>
        </w:rPr>
        <w:t xml:space="preserve"> target</w:t>
      </w:r>
      <w:r w:rsidR="0054642E" w:rsidRPr="005E504A">
        <w:rPr>
          <w:rFonts w:asciiTheme="minorBidi" w:hAnsiTheme="minorBidi"/>
          <w:sz w:val="20"/>
          <w:szCs w:val="20"/>
          <w:lang w:val="en-US"/>
        </w:rPr>
        <w:t xml:space="preserve"> in the neonate</w:t>
      </w:r>
      <w:r w:rsidR="00C5774D" w:rsidRPr="005E504A">
        <w:rPr>
          <w:rFonts w:asciiTheme="minorBidi" w:hAnsiTheme="minorBidi"/>
          <w:sz w:val="20"/>
          <w:szCs w:val="20"/>
          <w:lang w:val="en-US"/>
        </w:rPr>
        <w:t xml:space="preserve"> for a</w:t>
      </w:r>
      <w:r w:rsidR="006556F6" w:rsidRPr="005E504A">
        <w:rPr>
          <w:rFonts w:asciiTheme="minorBidi" w:hAnsiTheme="minorBidi"/>
          <w:sz w:val="20"/>
          <w:szCs w:val="20"/>
          <w:lang w:val="en-US"/>
        </w:rPr>
        <w:t xml:space="preserve"> m</w:t>
      </w:r>
      <w:r w:rsidR="00F278EB">
        <w:rPr>
          <w:rFonts w:asciiTheme="minorBidi" w:hAnsiTheme="minorBidi"/>
          <w:sz w:val="20"/>
          <w:szCs w:val="20"/>
          <w:lang w:val="en-US"/>
        </w:rPr>
        <w:t xml:space="preserve">ean </w:t>
      </w:r>
      <w:r w:rsidR="00C5774D" w:rsidRPr="005E504A">
        <w:rPr>
          <w:rFonts w:asciiTheme="minorBidi" w:hAnsiTheme="minorBidi"/>
          <w:sz w:val="20"/>
          <w:szCs w:val="20"/>
          <w:lang w:val="en-US"/>
        </w:rPr>
        <w:t xml:space="preserve">duration of </w:t>
      </w:r>
      <w:r w:rsidR="00EE0F55">
        <w:rPr>
          <w:rFonts w:asciiTheme="minorBidi" w:hAnsiTheme="minorBidi"/>
          <w:sz w:val="20"/>
          <w:szCs w:val="20"/>
          <w:lang w:val="en-US"/>
        </w:rPr>
        <w:t>9</w:t>
      </w:r>
      <w:r w:rsidR="002977F1">
        <w:rPr>
          <w:rFonts w:asciiTheme="minorBidi" w:hAnsiTheme="minorBidi"/>
          <w:sz w:val="20"/>
          <w:szCs w:val="20"/>
          <w:lang w:val="en-US"/>
        </w:rPr>
        <w:t>.5</w:t>
      </w:r>
      <w:r w:rsidR="00C5774D" w:rsidRPr="005E504A">
        <w:rPr>
          <w:rFonts w:asciiTheme="minorBidi" w:hAnsiTheme="minorBidi"/>
          <w:sz w:val="20"/>
          <w:szCs w:val="20"/>
          <w:lang w:val="en-US"/>
        </w:rPr>
        <w:t xml:space="preserve"> hours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 xml:space="preserve"> (</w:t>
      </w:r>
      <w:r w:rsidR="000F4896" w:rsidRPr="005E504A">
        <w:rPr>
          <w:rFonts w:asciiTheme="minorBidi" w:hAnsiTheme="minorBidi"/>
          <w:b/>
          <w:bCs/>
          <w:sz w:val="20"/>
          <w:szCs w:val="20"/>
          <w:lang w:val="en-US"/>
        </w:rPr>
        <w:t>Figure 1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>; right)</w:t>
      </w:r>
      <w:r w:rsidR="006556F6" w:rsidRPr="005E504A">
        <w:rPr>
          <w:rFonts w:asciiTheme="minorBidi" w:hAnsiTheme="minorBidi"/>
          <w:sz w:val="20"/>
          <w:szCs w:val="20"/>
          <w:lang w:val="en-US"/>
        </w:rPr>
        <w:t>.</w:t>
      </w:r>
    </w:p>
    <w:p w14:paraId="6C0F3976" w14:textId="15F193FE" w:rsidR="00B746B5" w:rsidRPr="005E504A" w:rsidRDefault="00EE0F55" w:rsidP="00B746B5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EE0F55">
        <w:rPr>
          <w:rFonts w:asciiTheme="minorBidi" w:hAnsiTheme="minorBidi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31AEF86" wp14:editId="577DE778">
            <wp:simplePos x="0" y="0"/>
            <wp:positionH relativeFrom="column">
              <wp:posOffset>4154805</wp:posOffset>
            </wp:positionH>
            <wp:positionV relativeFrom="paragraph">
              <wp:posOffset>417830</wp:posOffset>
            </wp:positionV>
            <wp:extent cx="1962000" cy="19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B5" w:rsidRPr="005E504A">
        <w:rPr>
          <w:rFonts w:asciiTheme="minorBidi" w:hAnsiTheme="minorBidi"/>
          <w:b/>
          <w:bCs/>
          <w:sz w:val="20"/>
          <w:szCs w:val="20"/>
          <w:lang w:val="en-US"/>
        </w:rPr>
        <w:t>Conclusion:</w:t>
      </w:r>
      <w:r w:rsidR="00B746B5" w:rsidRPr="005E504A">
        <w:rPr>
          <w:rFonts w:asciiTheme="minorBidi" w:hAnsiTheme="minorBidi"/>
          <w:sz w:val="20"/>
          <w:szCs w:val="20"/>
          <w:lang w:val="en-US"/>
        </w:rPr>
        <w:t xml:space="preserve"> The developed 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 xml:space="preserve">maternal popPK </w:t>
      </w:r>
      <w:r w:rsidR="00B746B5" w:rsidRPr="005E504A">
        <w:rPr>
          <w:rFonts w:asciiTheme="minorBidi" w:hAnsiTheme="minorBidi"/>
          <w:sz w:val="20"/>
          <w:szCs w:val="20"/>
          <w:lang w:val="en-US"/>
        </w:rPr>
        <w:t xml:space="preserve">model in combination with the 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 xml:space="preserve">neonatal </w:t>
      </w:r>
      <w:r w:rsidR="00B746B5" w:rsidRPr="005E504A">
        <w:rPr>
          <w:rFonts w:asciiTheme="minorBidi" w:hAnsiTheme="minorBidi"/>
          <w:sz w:val="20"/>
          <w:szCs w:val="20"/>
          <w:lang w:val="en-US"/>
        </w:rPr>
        <w:t>model developed by De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> </w:t>
      </w:r>
      <w:r w:rsidR="00B746B5" w:rsidRPr="005E504A">
        <w:rPr>
          <w:rFonts w:asciiTheme="minorBidi" w:hAnsiTheme="minorBidi"/>
          <w:sz w:val="20"/>
          <w:szCs w:val="20"/>
          <w:lang w:val="en-US"/>
        </w:rPr>
        <w:t>Cock</w:t>
      </w:r>
      <w:r w:rsidR="00B746B5" w:rsidRPr="005E504A">
        <w:rPr>
          <w:rFonts w:asciiTheme="minorBidi" w:hAnsiTheme="minorBidi"/>
          <w:i/>
          <w:iCs/>
          <w:sz w:val="20"/>
          <w:szCs w:val="20"/>
          <w:lang w:val="en-US"/>
        </w:rPr>
        <w:t xml:space="preserve"> et al.</w:t>
      </w:r>
      <w:r w:rsidR="00B746B5" w:rsidRPr="005E504A">
        <w:rPr>
          <w:rFonts w:asciiTheme="minorBidi" w:hAnsiTheme="minorBidi"/>
          <w:sz w:val="20"/>
          <w:szCs w:val="20"/>
          <w:lang w:val="en-US"/>
        </w:rPr>
        <w:t xml:space="preserve"> showed that traditional predelivery maternal cefazolin dosing provides neonatal antimicrobial protection against GBS for a </w:t>
      </w:r>
      <w:r w:rsidR="000F4896" w:rsidRPr="005E504A">
        <w:rPr>
          <w:rFonts w:asciiTheme="minorBidi" w:hAnsiTheme="minorBidi"/>
          <w:sz w:val="20"/>
          <w:szCs w:val="20"/>
          <w:lang w:val="en-US"/>
        </w:rPr>
        <w:t>mean</w:t>
      </w:r>
      <w:r w:rsidR="00B746B5" w:rsidRPr="005E504A">
        <w:rPr>
          <w:rFonts w:asciiTheme="minorBidi" w:hAnsiTheme="minorBidi"/>
          <w:sz w:val="20"/>
          <w:szCs w:val="20"/>
          <w:lang w:val="en-US"/>
        </w:rPr>
        <w:t xml:space="preserve"> duration of </w:t>
      </w:r>
      <w:r>
        <w:rPr>
          <w:rFonts w:asciiTheme="minorBidi" w:hAnsiTheme="minorBidi"/>
          <w:sz w:val="20"/>
          <w:szCs w:val="20"/>
          <w:lang w:val="en-US"/>
        </w:rPr>
        <w:t xml:space="preserve">nine </w:t>
      </w:r>
      <w:r w:rsidR="00B746B5" w:rsidRPr="005E504A">
        <w:rPr>
          <w:rFonts w:asciiTheme="minorBidi" w:hAnsiTheme="minorBidi"/>
          <w:sz w:val="20"/>
          <w:szCs w:val="20"/>
          <w:lang w:val="en-US"/>
        </w:rPr>
        <w:t>hours post-delivery.</w:t>
      </w:r>
    </w:p>
    <w:p w14:paraId="24025B3D" w14:textId="730957FF" w:rsidR="00DC6D27" w:rsidRPr="005E504A" w:rsidRDefault="002B6CD6" w:rsidP="00ED2AD6">
      <w:pPr>
        <w:tabs>
          <w:tab w:val="right" w:pos="9923"/>
        </w:tabs>
        <w:jc w:val="both"/>
        <w:rPr>
          <w:rFonts w:asciiTheme="minorBidi" w:hAnsiTheme="minorBidi"/>
          <w:strike/>
          <w:sz w:val="20"/>
          <w:szCs w:val="20"/>
          <w:lang w:val="en-US"/>
        </w:rPr>
      </w:pPr>
      <w:r w:rsidRPr="005E504A">
        <w:rPr>
          <w:rFonts w:asciiTheme="minorBidi" w:hAnsiTheme="minorBidi"/>
          <w:b/>
          <w:bCs/>
          <w:noProof/>
          <w:sz w:val="20"/>
          <w:szCs w:val="20"/>
          <w:lang w:val="en-US" w:eastAsia="nl-BE"/>
        </w:rPr>
        <w:drawing>
          <wp:inline distT="0" distB="0" distL="0" distR="0" wp14:anchorId="58203BAA" wp14:editId="778F491A">
            <wp:extent cx="3778885" cy="1973580"/>
            <wp:effectExtent l="0" t="0" r="0" b="0"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F55" w:rsidRPr="00EE0F55">
        <w:rPr>
          <w:noProof/>
        </w:rPr>
        <w:t xml:space="preserve"> </w:t>
      </w:r>
      <w:r w:rsidR="00B746B5" w:rsidRPr="005E504A">
        <w:rPr>
          <w:rFonts w:asciiTheme="minorBidi" w:hAnsiTheme="minorBidi"/>
          <w:b/>
          <w:bCs/>
          <w:sz w:val="20"/>
          <w:szCs w:val="20"/>
          <w:lang w:val="en-US"/>
        </w:rPr>
        <w:tab/>
      </w:r>
      <w:r w:rsidR="00A250D2"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</w:p>
    <w:p w14:paraId="07AB202F" w14:textId="473C4E9F" w:rsidR="00511F61" w:rsidRPr="00E742AC" w:rsidRDefault="00953F83" w:rsidP="00953F83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E742AC">
        <w:rPr>
          <w:rFonts w:asciiTheme="minorBidi" w:hAnsiTheme="minorBidi"/>
          <w:b/>
          <w:bCs/>
          <w:sz w:val="20"/>
          <w:szCs w:val="20"/>
          <w:lang w:val="en-US"/>
        </w:rPr>
        <w:t>Figure 1.</w:t>
      </w:r>
      <w:r w:rsidRPr="00E742AC">
        <w:rPr>
          <w:rFonts w:asciiTheme="minorBidi" w:hAnsiTheme="minorBidi"/>
          <w:sz w:val="20"/>
          <w:szCs w:val="20"/>
          <w:lang w:val="en-US"/>
        </w:rPr>
        <w:t xml:space="preserve"> </w:t>
      </w:r>
      <w:r w:rsidR="00B746B5" w:rsidRPr="00E742AC">
        <w:rPr>
          <w:rFonts w:asciiTheme="minorBidi" w:hAnsiTheme="minorBidi"/>
          <w:i/>
          <w:iCs/>
          <w:sz w:val="20"/>
          <w:szCs w:val="20"/>
          <w:lang w:val="en-US"/>
        </w:rPr>
        <w:t>(left</w:t>
      </w:r>
      <w:r w:rsidR="002B6CD6" w:rsidRPr="00E742AC">
        <w:rPr>
          <w:rFonts w:asciiTheme="minorBidi" w:hAnsiTheme="minorBidi"/>
          <w:i/>
          <w:iCs/>
          <w:sz w:val="20"/>
          <w:szCs w:val="20"/>
          <w:lang w:val="en-US"/>
        </w:rPr>
        <w:t>)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 </w:t>
      </w:r>
      <w:r w:rsidR="008962A0" w:rsidRPr="00E742AC">
        <w:rPr>
          <w:rFonts w:asciiTheme="minorBidi" w:hAnsiTheme="minorBidi"/>
          <w:sz w:val="20"/>
          <w:szCs w:val="20"/>
          <w:lang w:val="en-US"/>
        </w:rPr>
        <w:t>S</w:t>
      </w:r>
      <w:r w:rsidRPr="00E742AC">
        <w:rPr>
          <w:rFonts w:asciiTheme="minorBidi" w:hAnsiTheme="minorBidi"/>
          <w:sz w:val="20"/>
          <w:szCs w:val="20"/>
          <w:lang w:val="en-US"/>
        </w:rPr>
        <w:t xml:space="preserve">chematic representation of the </w:t>
      </w:r>
      <w:r w:rsidR="002977F1" w:rsidRPr="00E742AC">
        <w:rPr>
          <w:rFonts w:asciiTheme="minorBidi" w:hAnsiTheme="minorBidi"/>
          <w:sz w:val="20"/>
          <w:szCs w:val="20"/>
          <w:lang w:val="en-US"/>
        </w:rPr>
        <w:t xml:space="preserve">predelivery </w:t>
      </w:r>
      <w:r w:rsidRPr="00E742AC">
        <w:rPr>
          <w:rFonts w:asciiTheme="minorBidi" w:hAnsiTheme="minorBidi"/>
          <w:sz w:val="20"/>
          <w:szCs w:val="20"/>
          <w:lang w:val="en-US"/>
        </w:rPr>
        <w:t>maternal</w:t>
      </w:r>
      <w:r w:rsidR="00B1537E" w:rsidRPr="00E742AC">
        <w:rPr>
          <w:rFonts w:asciiTheme="minorBidi" w:hAnsiTheme="minorBidi"/>
          <w:sz w:val="20"/>
          <w:szCs w:val="20"/>
          <w:lang w:val="en-US"/>
        </w:rPr>
        <w:t>-</w:t>
      </w:r>
      <w:r w:rsidRPr="00E742AC">
        <w:rPr>
          <w:rFonts w:asciiTheme="minorBidi" w:hAnsiTheme="minorBidi"/>
          <w:sz w:val="20"/>
          <w:szCs w:val="20"/>
          <w:lang w:val="en-US"/>
        </w:rPr>
        <w:t xml:space="preserve">umbilical </w:t>
      </w:r>
      <w:r w:rsidR="00B1537E" w:rsidRPr="00E742AC">
        <w:rPr>
          <w:rFonts w:asciiTheme="minorBidi" w:hAnsiTheme="minorBidi"/>
          <w:sz w:val="20"/>
          <w:szCs w:val="20"/>
          <w:lang w:val="en-US"/>
        </w:rPr>
        <w:t>popPK</w:t>
      </w:r>
      <w:r w:rsidR="008962A0" w:rsidRPr="00E742AC">
        <w:rPr>
          <w:rFonts w:asciiTheme="minorBidi" w:hAnsiTheme="minorBidi"/>
          <w:sz w:val="20"/>
          <w:szCs w:val="20"/>
          <w:lang w:val="en-US"/>
        </w:rPr>
        <w:t xml:space="preserve"> model</w:t>
      </w:r>
      <w:r w:rsidRPr="00E742AC">
        <w:rPr>
          <w:rFonts w:asciiTheme="minorBidi" w:hAnsiTheme="minorBidi"/>
          <w:sz w:val="20"/>
          <w:szCs w:val="20"/>
          <w:lang w:val="en-US"/>
        </w:rPr>
        <w:t xml:space="preserve">. </w:t>
      </w:r>
      <w:r w:rsidR="00B1537E" w:rsidRPr="00E742AC">
        <w:rPr>
          <w:rFonts w:asciiTheme="minorBidi" w:hAnsiTheme="minorBidi"/>
          <w:sz w:val="20"/>
          <w:szCs w:val="20"/>
          <w:lang w:val="en-US"/>
        </w:rPr>
        <w:t xml:space="preserve">art: arterial; </w:t>
      </w:r>
      <w:r w:rsidRPr="00E742AC">
        <w:rPr>
          <w:rFonts w:asciiTheme="minorBidi" w:hAnsiTheme="minorBidi"/>
          <w:sz w:val="20"/>
          <w:szCs w:val="20"/>
          <w:lang w:val="en-US"/>
        </w:rPr>
        <w:t>CL: clearance;</w:t>
      </w:r>
      <w:r w:rsidR="00B1537E" w:rsidRPr="00E742AC">
        <w:rPr>
          <w:rFonts w:asciiTheme="minorBidi" w:hAnsiTheme="minorBidi"/>
          <w:sz w:val="20"/>
          <w:szCs w:val="20"/>
          <w:lang w:val="en-US"/>
        </w:rPr>
        <w:t xml:space="preserve"> neo: neonatal; </w:t>
      </w:r>
      <w:r w:rsidRPr="00E742AC">
        <w:rPr>
          <w:rFonts w:asciiTheme="minorBidi" w:hAnsiTheme="minorBidi"/>
          <w:sz w:val="20"/>
          <w:szCs w:val="20"/>
          <w:lang w:val="en-US"/>
        </w:rPr>
        <w:t>Q</w:t>
      </w:r>
      <w:r w:rsidR="00B1537E" w:rsidRPr="00E742AC">
        <w:rPr>
          <w:rFonts w:asciiTheme="minorBidi" w:hAnsiTheme="minorBidi"/>
          <w:sz w:val="20"/>
          <w:szCs w:val="20"/>
          <w:lang w:val="en-US"/>
        </w:rPr>
        <w:t>:</w:t>
      </w:r>
      <w:r w:rsidRPr="00E742AC">
        <w:rPr>
          <w:rFonts w:asciiTheme="minorBidi" w:hAnsiTheme="minorBidi"/>
          <w:sz w:val="20"/>
          <w:szCs w:val="20"/>
          <w:lang w:val="en-US"/>
        </w:rPr>
        <w:t xml:space="preserve"> intercompartmental clearance; </w:t>
      </w:r>
      <w:proofErr w:type="spellStart"/>
      <w:r w:rsidR="00B1537E" w:rsidRPr="00E742AC">
        <w:rPr>
          <w:rFonts w:asciiTheme="minorBidi" w:hAnsiTheme="minorBidi"/>
          <w:sz w:val="20"/>
          <w:szCs w:val="20"/>
          <w:lang w:val="en-US"/>
        </w:rPr>
        <w:t>umb</w:t>
      </w:r>
      <w:proofErr w:type="spellEnd"/>
      <w:r w:rsidR="00B1537E" w:rsidRPr="00E742AC">
        <w:rPr>
          <w:rFonts w:asciiTheme="minorBidi" w:hAnsiTheme="minorBidi"/>
          <w:sz w:val="20"/>
          <w:szCs w:val="20"/>
          <w:lang w:val="en-US"/>
        </w:rPr>
        <w:t xml:space="preserve">: umbilical cord; </w:t>
      </w:r>
      <w:r w:rsidRPr="00E742AC">
        <w:rPr>
          <w:rFonts w:asciiTheme="minorBidi" w:hAnsiTheme="minorBidi"/>
          <w:sz w:val="20"/>
          <w:szCs w:val="20"/>
          <w:lang w:val="en-US"/>
        </w:rPr>
        <w:t>V: volume of distribution</w:t>
      </w:r>
      <w:r w:rsidR="00B1537E" w:rsidRPr="00E742AC">
        <w:rPr>
          <w:rFonts w:asciiTheme="minorBidi" w:hAnsiTheme="minorBidi"/>
          <w:sz w:val="20"/>
          <w:szCs w:val="20"/>
          <w:lang w:val="en-US"/>
        </w:rPr>
        <w:t xml:space="preserve">; </w:t>
      </w:r>
      <w:proofErr w:type="spellStart"/>
      <w:r w:rsidR="00B1537E" w:rsidRPr="00E742AC">
        <w:rPr>
          <w:rFonts w:asciiTheme="minorBidi" w:hAnsiTheme="minorBidi"/>
          <w:sz w:val="20"/>
          <w:szCs w:val="20"/>
          <w:lang w:val="en-US"/>
        </w:rPr>
        <w:t>ven</w:t>
      </w:r>
      <w:proofErr w:type="spellEnd"/>
      <w:r w:rsidR="00B1537E" w:rsidRPr="00E742AC">
        <w:rPr>
          <w:rFonts w:asciiTheme="minorBidi" w:hAnsiTheme="minorBidi"/>
          <w:sz w:val="20"/>
          <w:szCs w:val="20"/>
          <w:lang w:val="en-US"/>
        </w:rPr>
        <w:t>: venous.</w:t>
      </w:r>
      <w:r w:rsidRPr="00E742AC">
        <w:rPr>
          <w:rFonts w:asciiTheme="minorBidi" w:hAnsiTheme="minorBidi"/>
          <w:sz w:val="20"/>
          <w:szCs w:val="20"/>
          <w:lang w:val="en-US"/>
        </w:rPr>
        <w:t xml:space="preserve"> </w:t>
      </w:r>
      <w:r w:rsidR="00B1537E" w:rsidRPr="00E742AC">
        <w:rPr>
          <w:rFonts w:asciiTheme="minorBidi" w:hAnsiTheme="minorBidi"/>
          <w:sz w:val="20"/>
          <w:szCs w:val="20"/>
          <w:lang w:val="en-US"/>
        </w:rPr>
        <w:t>Parameters values are typical values (root squared error).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 </w:t>
      </w:r>
      <w:r w:rsidR="00B746B5" w:rsidRPr="00E742AC">
        <w:rPr>
          <w:rFonts w:asciiTheme="minorBidi" w:hAnsiTheme="minorBidi"/>
          <w:i/>
          <w:iCs/>
          <w:sz w:val="20"/>
          <w:szCs w:val="20"/>
          <w:lang w:val="en-US"/>
        </w:rPr>
        <w:t>(right</w:t>
      </w:r>
      <w:r w:rsidR="002B6CD6" w:rsidRPr="00E742AC">
        <w:rPr>
          <w:rFonts w:asciiTheme="minorBidi" w:hAnsiTheme="minorBidi"/>
          <w:i/>
          <w:iCs/>
          <w:sz w:val="20"/>
          <w:szCs w:val="20"/>
          <w:lang w:val="en-US"/>
        </w:rPr>
        <w:t>)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 Time since birth </w:t>
      </w:r>
      <w:r w:rsidR="002B6CD6" w:rsidRPr="00E742AC">
        <w:rPr>
          <w:rFonts w:asciiTheme="minorBidi" w:hAnsiTheme="minorBidi"/>
          <w:i/>
          <w:iCs/>
          <w:sz w:val="20"/>
          <w:szCs w:val="20"/>
          <w:lang w:val="en-US"/>
        </w:rPr>
        <w:t>vs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 </w:t>
      </w:r>
      <w:r w:rsidR="000825A9" w:rsidRPr="00E742AC">
        <w:rPr>
          <w:rFonts w:asciiTheme="minorBidi" w:hAnsiTheme="minorBidi"/>
          <w:sz w:val="20"/>
          <w:szCs w:val="20"/>
          <w:lang w:val="en-US"/>
        </w:rPr>
        <w:t>p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>robability</w:t>
      </w:r>
      <w:r w:rsidR="000825A9" w:rsidRPr="00E742AC">
        <w:rPr>
          <w:rFonts w:asciiTheme="minorBidi" w:hAnsiTheme="minorBidi"/>
          <w:sz w:val="20"/>
          <w:szCs w:val="20"/>
          <w:lang w:val="en-US"/>
        </w:rPr>
        <w:t xml:space="preserve"> of target attainment (PTA)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 of</w:t>
      </w:r>
      <w:r w:rsidR="000825A9" w:rsidRPr="00E742AC">
        <w:rPr>
          <w:rFonts w:asciiTheme="minorBidi" w:hAnsiTheme="minorBidi"/>
          <w:sz w:val="20"/>
          <w:szCs w:val="20"/>
          <w:lang w:val="en-US"/>
        </w:rPr>
        <w:t xml:space="preserve"> 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>the 1 mg/L target</w:t>
      </w:r>
      <w:r w:rsidR="002977F1" w:rsidRPr="00E742AC">
        <w:rPr>
          <w:rFonts w:asciiTheme="minorBidi" w:hAnsiTheme="minorBidi"/>
          <w:sz w:val="20"/>
          <w:szCs w:val="20"/>
          <w:lang w:val="en-US"/>
        </w:rPr>
        <w:t xml:space="preserve"> for unbound cefazolin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. The horizontal line </w:t>
      </w:r>
      <w:r w:rsidR="000825A9" w:rsidRPr="00E742AC">
        <w:rPr>
          <w:rFonts w:asciiTheme="minorBidi" w:hAnsiTheme="minorBidi"/>
          <w:sz w:val="20"/>
          <w:szCs w:val="20"/>
          <w:lang w:val="en-US"/>
        </w:rPr>
        <w:t xml:space="preserve">indicates 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>90% PTA</w:t>
      </w:r>
      <w:r w:rsidR="002977F1" w:rsidRPr="00E742AC">
        <w:rPr>
          <w:rFonts w:asciiTheme="minorBidi" w:hAnsiTheme="minorBidi"/>
          <w:sz w:val="20"/>
          <w:szCs w:val="20"/>
          <w:lang w:val="en-US"/>
        </w:rPr>
        <w:t xml:space="preserve"> (</w:t>
      </w:r>
      <w:r w:rsidR="002977F1" w:rsidRPr="00E742AC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="002977F1" w:rsidRPr="00E742AC">
        <w:rPr>
          <w:rFonts w:asciiTheme="minorBidi" w:hAnsiTheme="minorBidi"/>
          <w:sz w:val="20"/>
          <w:szCs w:val="20"/>
          <w:lang w:val="en-US"/>
        </w:rPr>
        <w:t>=</w:t>
      </w:r>
      <w:r w:rsidR="00E742AC">
        <w:rPr>
          <w:rFonts w:asciiTheme="minorBidi" w:hAnsiTheme="minorBidi"/>
          <w:sz w:val="20"/>
          <w:szCs w:val="20"/>
          <w:lang w:val="en-US"/>
        </w:rPr>
        <w:t>1000)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. The vertical line </w:t>
      </w:r>
      <w:r w:rsidR="000825A9" w:rsidRPr="00E742AC">
        <w:rPr>
          <w:rFonts w:asciiTheme="minorBidi" w:hAnsiTheme="minorBidi"/>
          <w:sz w:val="20"/>
          <w:szCs w:val="20"/>
          <w:lang w:val="en-US"/>
        </w:rPr>
        <w:t xml:space="preserve">indicates 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the </w:t>
      </w:r>
      <w:r w:rsidR="00EE0F55">
        <w:rPr>
          <w:rFonts w:asciiTheme="minorBidi" w:hAnsiTheme="minorBidi"/>
          <w:sz w:val="20"/>
          <w:szCs w:val="20"/>
          <w:lang w:val="en-US"/>
        </w:rPr>
        <w:t>9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>.5 hours population mean.</w:t>
      </w:r>
      <w:r w:rsidR="00F278EB">
        <w:rPr>
          <w:rFonts w:asciiTheme="minorBidi" w:hAnsiTheme="minorBidi"/>
          <w:sz w:val="20"/>
          <w:szCs w:val="20"/>
          <w:lang w:val="en-US"/>
        </w:rPr>
        <w:t xml:space="preserve"> T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 xml:space="preserve">he </w:t>
      </w:r>
      <w:r w:rsidR="000825A9" w:rsidRPr="00E742AC">
        <w:rPr>
          <w:rFonts w:asciiTheme="minorBidi" w:hAnsiTheme="minorBidi"/>
          <w:sz w:val="20"/>
          <w:szCs w:val="20"/>
          <w:lang w:val="en-US"/>
        </w:rPr>
        <w:t xml:space="preserve">solid 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>black line represents the population mean</w:t>
      </w:r>
      <w:r w:rsidR="000825A9" w:rsidRPr="00E742AC">
        <w:rPr>
          <w:rFonts w:asciiTheme="minorBidi" w:hAnsiTheme="minorBidi"/>
          <w:sz w:val="20"/>
          <w:szCs w:val="20"/>
          <w:lang w:val="en-US"/>
        </w:rPr>
        <w:t xml:space="preserve"> trend</w:t>
      </w:r>
      <w:r w:rsidR="002B6CD6" w:rsidRPr="00E742AC">
        <w:rPr>
          <w:rFonts w:asciiTheme="minorBidi" w:hAnsiTheme="minorBidi"/>
          <w:sz w:val="20"/>
          <w:szCs w:val="20"/>
          <w:lang w:val="en-US"/>
        </w:rPr>
        <w:t>.</w:t>
      </w:r>
    </w:p>
    <w:p w14:paraId="18150F3F" w14:textId="4C9174A5" w:rsidR="008962A0" w:rsidRPr="005E504A" w:rsidRDefault="008962A0" w:rsidP="00511F61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5E504A">
        <w:rPr>
          <w:rFonts w:asciiTheme="minorBidi" w:hAnsiTheme="minorBidi"/>
          <w:b/>
          <w:bCs/>
          <w:sz w:val="20"/>
          <w:szCs w:val="20"/>
          <w:lang w:val="en-US"/>
        </w:rPr>
        <w:t>References:</w:t>
      </w:r>
      <w:r w:rsidRPr="005E504A">
        <w:rPr>
          <w:rFonts w:asciiTheme="minorBidi" w:hAnsiTheme="minorBidi"/>
          <w:sz w:val="20"/>
          <w:szCs w:val="20"/>
          <w:lang w:val="en-US"/>
        </w:rPr>
        <w:t xml:space="preserve"> (1) De Cock </w:t>
      </w:r>
      <w:r w:rsidRPr="005E504A">
        <w:rPr>
          <w:rFonts w:asciiTheme="minorBidi" w:hAnsiTheme="minorBidi"/>
          <w:i/>
          <w:iCs/>
          <w:sz w:val="20"/>
          <w:szCs w:val="20"/>
          <w:lang w:val="en-US"/>
        </w:rPr>
        <w:t>et al.</w:t>
      </w:r>
      <w:r w:rsidRPr="005E504A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5E504A">
        <w:rPr>
          <w:rFonts w:asciiTheme="minorBidi" w:hAnsiTheme="minorBidi"/>
          <w:i/>
          <w:iCs/>
          <w:sz w:val="20"/>
          <w:szCs w:val="20"/>
          <w:lang w:val="en-US"/>
        </w:rPr>
        <w:t xml:space="preserve">J </w:t>
      </w:r>
      <w:proofErr w:type="spellStart"/>
      <w:r w:rsidRPr="005E504A">
        <w:rPr>
          <w:rFonts w:asciiTheme="minorBidi" w:hAnsiTheme="minorBidi"/>
          <w:i/>
          <w:iCs/>
          <w:sz w:val="20"/>
          <w:szCs w:val="20"/>
          <w:lang w:val="en-US"/>
        </w:rPr>
        <w:t>Antimicrob</w:t>
      </w:r>
      <w:proofErr w:type="spellEnd"/>
      <w:r w:rsidRPr="005E504A">
        <w:rPr>
          <w:rFonts w:asciiTheme="minorBidi" w:hAnsiTheme="minorBidi"/>
          <w:i/>
          <w:iCs/>
          <w:sz w:val="20"/>
          <w:szCs w:val="20"/>
          <w:lang w:val="en-US"/>
        </w:rPr>
        <w:t xml:space="preserve"> Chemother</w:t>
      </w:r>
      <w:r w:rsidRPr="005E504A">
        <w:rPr>
          <w:rFonts w:asciiTheme="minorBidi" w:hAnsiTheme="minorBidi"/>
          <w:sz w:val="20"/>
          <w:szCs w:val="20"/>
          <w:lang w:val="en-US"/>
        </w:rPr>
        <w:t xml:space="preserve"> 2014.</w:t>
      </w:r>
    </w:p>
    <w:sectPr w:rsidR="008962A0" w:rsidRPr="005E504A" w:rsidSect="006A2DC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B293" w14:textId="77777777" w:rsidR="0022141E" w:rsidRDefault="0022141E" w:rsidP="000742B6">
      <w:r>
        <w:separator/>
      </w:r>
    </w:p>
  </w:endnote>
  <w:endnote w:type="continuationSeparator" w:id="0">
    <w:p w14:paraId="267C88A3" w14:textId="77777777" w:rsidR="0022141E" w:rsidRDefault="0022141E" w:rsidP="000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35F6" w14:textId="77777777" w:rsidR="0022141E" w:rsidRDefault="0022141E" w:rsidP="000742B6">
      <w:r>
        <w:separator/>
      </w:r>
    </w:p>
  </w:footnote>
  <w:footnote w:type="continuationSeparator" w:id="0">
    <w:p w14:paraId="65A83243" w14:textId="77777777" w:rsidR="0022141E" w:rsidRDefault="0022141E" w:rsidP="0007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6F5"/>
    <w:multiLevelType w:val="hybridMultilevel"/>
    <w:tmpl w:val="6512EB90"/>
    <w:lvl w:ilvl="0" w:tplc="E9DAFE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79B3"/>
    <w:multiLevelType w:val="hybridMultilevel"/>
    <w:tmpl w:val="95845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923D6"/>
    <w:multiLevelType w:val="hybridMultilevel"/>
    <w:tmpl w:val="7F44E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45"/>
    <w:rsid w:val="000102A3"/>
    <w:rsid w:val="00013572"/>
    <w:rsid w:val="00030E09"/>
    <w:rsid w:val="000742B6"/>
    <w:rsid w:val="000825A9"/>
    <w:rsid w:val="000A213A"/>
    <w:rsid w:val="000F4896"/>
    <w:rsid w:val="00110B3D"/>
    <w:rsid w:val="00125F83"/>
    <w:rsid w:val="001407DA"/>
    <w:rsid w:val="001F3555"/>
    <w:rsid w:val="001F7498"/>
    <w:rsid w:val="00206E9B"/>
    <w:rsid w:val="00214B8A"/>
    <w:rsid w:val="0022141E"/>
    <w:rsid w:val="0023570F"/>
    <w:rsid w:val="0026113A"/>
    <w:rsid w:val="0027002F"/>
    <w:rsid w:val="00297356"/>
    <w:rsid w:val="002977F1"/>
    <w:rsid w:val="002A773D"/>
    <w:rsid w:val="002B6AED"/>
    <w:rsid w:val="002B6CD6"/>
    <w:rsid w:val="002E2B53"/>
    <w:rsid w:val="00354DBB"/>
    <w:rsid w:val="003921BF"/>
    <w:rsid w:val="003D7D5B"/>
    <w:rsid w:val="003F624D"/>
    <w:rsid w:val="00450A72"/>
    <w:rsid w:val="00463ED6"/>
    <w:rsid w:val="00477BF8"/>
    <w:rsid w:val="004A45B7"/>
    <w:rsid w:val="004E1C45"/>
    <w:rsid w:val="004E40E2"/>
    <w:rsid w:val="0050592F"/>
    <w:rsid w:val="00511F61"/>
    <w:rsid w:val="005202CD"/>
    <w:rsid w:val="0054642E"/>
    <w:rsid w:val="00552C26"/>
    <w:rsid w:val="00582DF8"/>
    <w:rsid w:val="00590452"/>
    <w:rsid w:val="00592676"/>
    <w:rsid w:val="00595AFF"/>
    <w:rsid w:val="005E504A"/>
    <w:rsid w:val="005E6545"/>
    <w:rsid w:val="005F6E45"/>
    <w:rsid w:val="00613CB9"/>
    <w:rsid w:val="006556F6"/>
    <w:rsid w:val="00696828"/>
    <w:rsid w:val="006A2DC6"/>
    <w:rsid w:val="006C7989"/>
    <w:rsid w:val="0073445B"/>
    <w:rsid w:val="00734C81"/>
    <w:rsid w:val="00780389"/>
    <w:rsid w:val="00781C0A"/>
    <w:rsid w:val="00790808"/>
    <w:rsid w:val="007C5EB0"/>
    <w:rsid w:val="00806679"/>
    <w:rsid w:val="00807F6A"/>
    <w:rsid w:val="008332D0"/>
    <w:rsid w:val="00887835"/>
    <w:rsid w:val="008962A0"/>
    <w:rsid w:val="008A6A48"/>
    <w:rsid w:val="008C1E5A"/>
    <w:rsid w:val="008D63C8"/>
    <w:rsid w:val="008F6D08"/>
    <w:rsid w:val="00902869"/>
    <w:rsid w:val="0092763F"/>
    <w:rsid w:val="00953F83"/>
    <w:rsid w:val="009578E0"/>
    <w:rsid w:val="00960C40"/>
    <w:rsid w:val="0097374E"/>
    <w:rsid w:val="009A60B3"/>
    <w:rsid w:val="009B2F30"/>
    <w:rsid w:val="009B6385"/>
    <w:rsid w:val="009D5563"/>
    <w:rsid w:val="009F151C"/>
    <w:rsid w:val="00A00770"/>
    <w:rsid w:val="00A220BD"/>
    <w:rsid w:val="00A250D2"/>
    <w:rsid w:val="00A7022C"/>
    <w:rsid w:val="00A81FDE"/>
    <w:rsid w:val="00A855AC"/>
    <w:rsid w:val="00A86566"/>
    <w:rsid w:val="00A87772"/>
    <w:rsid w:val="00AA27AB"/>
    <w:rsid w:val="00AA7538"/>
    <w:rsid w:val="00AC67E5"/>
    <w:rsid w:val="00AE4168"/>
    <w:rsid w:val="00B13F20"/>
    <w:rsid w:val="00B1537E"/>
    <w:rsid w:val="00B427D0"/>
    <w:rsid w:val="00B660A4"/>
    <w:rsid w:val="00B710D1"/>
    <w:rsid w:val="00B746B5"/>
    <w:rsid w:val="00B80396"/>
    <w:rsid w:val="00BA6F05"/>
    <w:rsid w:val="00BF4A4C"/>
    <w:rsid w:val="00C26611"/>
    <w:rsid w:val="00C37FDE"/>
    <w:rsid w:val="00C5774D"/>
    <w:rsid w:val="00C90FB5"/>
    <w:rsid w:val="00C9210A"/>
    <w:rsid w:val="00C92EE9"/>
    <w:rsid w:val="00C94A30"/>
    <w:rsid w:val="00CC1D0B"/>
    <w:rsid w:val="00CE5474"/>
    <w:rsid w:val="00D3069C"/>
    <w:rsid w:val="00D473E2"/>
    <w:rsid w:val="00D72E4F"/>
    <w:rsid w:val="00D833E1"/>
    <w:rsid w:val="00D95531"/>
    <w:rsid w:val="00DB483E"/>
    <w:rsid w:val="00DC6D27"/>
    <w:rsid w:val="00DD2E11"/>
    <w:rsid w:val="00DF2F7E"/>
    <w:rsid w:val="00E101BD"/>
    <w:rsid w:val="00E27772"/>
    <w:rsid w:val="00E45B78"/>
    <w:rsid w:val="00E645F8"/>
    <w:rsid w:val="00E742AC"/>
    <w:rsid w:val="00E874A4"/>
    <w:rsid w:val="00EC0ECC"/>
    <w:rsid w:val="00ED2AD6"/>
    <w:rsid w:val="00EE0F55"/>
    <w:rsid w:val="00EF0A2B"/>
    <w:rsid w:val="00F03CE9"/>
    <w:rsid w:val="00F278EB"/>
    <w:rsid w:val="00F5725B"/>
    <w:rsid w:val="00F575FF"/>
    <w:rsid w:val="00F74FD4"/>
    <w:rsid w:val="00FA62AF"/>
    <w:rsid w:val="00FD4A27"/>
    <w:rsid w:val="00FD74F9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DC76"/>
  <w15:chartTrackingRefBased/>
  <w15:docId w15:val="{BAF8F874-F66E-D347-9A60-DEB405F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6E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4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8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8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70F"/>
  </w:style>
  <w:style w:type="character" w:styleId="FollowedHyperlink">
    <w:name w:val="FollowedHyperlink"/>
    <w:basedOn w:val="DefaultParagraphFont"/>
    <w:uiPriority w:val="99"/>
    <w:semiHidden/>
    <w:unhideWhenUsed/>
    <w:rsid w:val="00D833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B6"/>
  </w:style>
  <w:style w:type="paragraph" w:styleId="Footer">
    <w:name w:val="footer"/>
    <w:basedOn w:val="Normal"/>
    <w:link w:val="FooterChar"/>
    <w:uiPriority w:val="99"/>
    <w:unhideWhenUsed/>
    <w:rsid w:val="00074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B6"/>
  </w:style>
  <w:style w:type="character" w:customStyle="1" w:styleId="markqpsut2yqt">
    <w:name w:val="markqpsut2yqt"/>
    <w:basedOn w:val="DefaultParagraphFont"/>
    <w:rsid w:val="002A773D"/>
  </w:style>
  <w:style w:type="character" w:styleId="Emphasis">
    <w:name w:val="Emphasis"/>
    <w:basedOn w:val="DefaultParagraphFont"/>
    <w:uiPriority w:val="20"/>
    <w:qFormat/>
    <w:rsid w:val="00F03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7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dreesen@kuleuv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r.elkayal@kuleuv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DF89D0-5B79-FE45-AE4C-2154705F20BE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elkayal</dc:creator>
  <cp:keywords/>
  <dc:description/>
  <cp:lastModifiedBy>omar elkayal</cp:lastModifiedBy>
  <cp:revision>10</cp:revision>
  <dcterms:created xsi:type="dcterms:W3CDTF">2020-12-21T10:21:00Z</dcterms:created>
  <dcterms:modified xsi:type="dcterms:W3CDTF">2020-12-23T15:14:00Z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documentId_3445</vt:lpwstr>
  </property>
  <property fmtid="{D5CDD505-2E9C-101B-9397-08002B2CF9AE}" pid="3" name="grammarly_documentContext">
    <vt:lpwstr>{"goals":[],"domain":"general","emotions":[],"dialect":"american"}</vt:lpwstr>
  </property>
</Properties>
</file>