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C2A77" w14:textId="11B5A4A6" w:rsidR="007E3FF9" w:rsidRPr="00CC0C91" w:rsidRDefault="00F52D27" w:rsidP="00F52D27">
      <w:pPr>
        <w:pStyle w:val="NoSpacing"/>
        <w:spacing w:after="240"/>
        <w:jc w:val="both"/>
        <w:rPr>
          <w:rFonts w:asciiTheme="minorBidi" w:eastAsia="Times New Roman" w:hAnsiTheme="minorBidi"/>
          <w:b/>
          <w:bCs/>
          <w:sz w:val="20"/>
          <w:szCs w:val="20"/>
          <w:lang w:val="en-AU"/>
        </w:rPr>
      </w:pPr>
      <w:r w:rsidRPr="00CC0C91">
        <w:rPr>
          <w:rFonts w:asciiTheme="minorBidi" w:eastAsia="Times New Roman" w:hAnsiTheme="minorBidi"/>
          <w:b/>
          <w:bCs/>
          <w:sz w:val="20"/>
          <w:szCs w:val="20"/>
          <w:lang w:val="en-AU"/>
        </w:rPr>
        <w:t>Mechanism-based modelling to o</w:t>
      </w:r>
      <w:r w:rsidR="007E3FF9" w:rsidRPr="00CC0C91">
        <w:rPr>
          <w:rFonts w:asciiTheme="minorBidi" w:eastAsia="Times New Roman" w:hAnsiTheme="minorBidi"/>
          <w:b/>
          <w:bCs/>
          <w:sz w:val="20"/>
          <w:szCs w:val="20"/>
          <w:lang w:val="en-AU"/>
        </w:rPr>
        <w:t>ptimi</w:t>
      </w:r>
      <w:r w:rsidRPr="00CC0C91">
        <w:rPr>
          <w:rFonts w:asciiTheme="minorBidi" w:eastAsia="Times New Roman" w:hAnsiTheme="minorBidi"/>
          <w:b/>
          <w:bCs/>
          <w:sz w:val="20"/>
          <w:szCs w:val="20"/>
          <w:lang w:val="en-AU"/>
        </w:rPr>
        <w:t>se</w:t>
      </w:r>
      <w:r w:rsidR="007E3FF9" w:rsidRPr="00CC0C91">
        <w:rPr>
          <w:rFonts w:asciiTheme="minorBidi" w:eastAsia="Times New Roman" w:hAnsiTheme="minorBidi"/>
          <w:b/>
          <w:bCs/>
          <w:sz w:val="20"/>
          <w:szCs w:val="20"/>
          <w:lang w:val="en-AU"/>
        </w:rPr>
        <w:t xml:space="preserve"> piperacillin plus tobramycin combination dosage regimens against </w:t>
      </w:r>
      <w:r w:rsidR="007E3FF9" w:rsidRPr="00CC0C91">
        <w:rPr>
          <w:rFonts w:asciiTheme="minorBidi" w:eastAsia="Times New Roman" w:hAnsiTheme="minorBidi"/>
          <w:b/>
          <w:bCs/>
          <w:i/>
          <w:iCs/>
          <w:sz w:val="20"/>
          <w:szCs w:val="20"/>
          <w:lang w:val="en-AU"/>
        </w:rPr>
        <w:t xml:space="preserve">Pseudomonas aeruginosa </w:t>
      </w:r>
      <w:r w:rsidR="007E3FF9" w:rsidRPr="00CC0C91">
        <w:rPr>
          <w:rFonts w:asciiTheme="minorBidi" w:eastAsia="Times New Roman" w:hAnsiTheme="minorBidi"/>
          <w:b/>
          <w:bCs/>
          <w:sz w:val="20"/>
          <w:szCs w:val="20"/>
          <w:lang w:val="en-AU"/>
        </w:rPr>
        <w:t xml:space="preserve">for patients with altered pharmacokinetics </w:t>
      </w:r>
    </w:p>
    <w:p w14:paraId="3A118675" w14:textId="21B49133" w:rsidR="007E3FF9" w:rsidRPr="00CC0C91" w:rsidRDefault="007E3FF9" w:rsidP="00CC0C91">
      <w:pPr>
        <w:spacing w:line="240" w:lineRule="auto"/>
        <w:jc w:val="both"/>
        <w:rPr>
          <w:rFonts w:asciiTheme="minorBidi" w:hAnsiTheme="minorBidi"/>
          <w:sz w:val="20"/>
          <w:szCs w:val="20"/>
          <w:vertAlign w:val="superscript"/>
          <w:lang w:val="en-AU"/>
        </w:rPr>
      </w:pPr>
      <w:r w:rsidRPr="00CC0C91">
        <w:rPr>
          <w:rFonts w:asciiTheme="minorBidi" w:hAnsiTheme="minorBidi"/>
          <w:sz w:val="20"/>
          <w:szCs w:val="20"/>
          <w:lang w:val="en-AU"/>
        </w:rPr>
        <w:t>Rajbharan Yadav</w:t>
      </w:r>
      <w:r w:rsidRPr="00CC0C91">
        <w:rPr>
          <w:rFonts w:asciiTheme="minorBidi" w:hAnsiTheme="minorBidi"/>
          <w:sz w:val="20"/>
          <w:szCs w:val="20"/>
          <w:vertAlign w:val="superscript"/>
          <w:lang w:val="en-AU"/>
        </w:rPr>
        <w:t>1</w:t>
      </w:r>
      <w:r w:rsidRPr="00CC0C91">
        <w:rPr>
          <w:rFonts w:asciiTheme="minorBidi" w:hAnsiTheme="minorBidi"/>
          <w:sz w:val="20"/>
          <w:szCs w:val="20"/>
          <w:lang w:val="en-AU"/>
        </w:rPr>
        <w:t>, Kate E. Rogers</w:t>
      </w:r>
      <w:r w:rsidRPr="00CC0C91">
        <w:rPr>
          <w:rFonts w:asciiTheme="minorBidi" w:hAnsiTheme="minorBidi"/>
          <w:sz w:val="20"/>
          <w:szCs w:val="20"/>
          <w:vertAlign w:val="superscript"/>
          <w:lang w:val="en-AU"/>
        </w:rPr>
        <w:t>1,2</w:t>
      </w:r>
      <w:r w:rsidRPr="00CC0C91">
        <w:rPr>
          <w:rFonts w:asciiTheme="minorBidi" w:hAnsiTheme="minorBidi"/>
          <w:sz w:val="20"/>
          <w:szCs w:val="20"/>
          <w:lang w:val="en-AU"/>
        </w:rPr>
        <w:t>, Phillip J. Bergen</w:t>
      </w:r>
      <w:r w:rsidRPr="00CC0C91">
        <w:rPr>
          <w:rFonts w:asciiTheme="minorBidi" w:hAnsiTheme="minorBidi"/>
          <w:sz w:val="20"/>
          <w:szCs w:val="20"/>
          <w:vertAlign w:val="superscript"/>
          <w:lang w:val="en-AU"/>
        </w:rPr>
        <w:t>2</w:t>
      </w:r>
      <w:r w:rsidRPr="00CC0C91">
        <w:rPr>
          <w:rFonts w:asciiTheme="minorBidi" w:hAnsiTheme="minorBidi"/>
          <w:sz w:val="20"/>
          <w:szCs w:val="20"/>
          <w:lang w:val="en-AU"/>
        </w:rPr>
        <w:t>, Jürgen B. Bulitta</w:t>
      </w:r>
      <w:r w:rsidRPr="00CC0C91">
        <w:rPr>
          <w:rFonts w:asciiTheme="minorBidi" w:hAnsiTheme="minorBidi"/>
          <w:sz w:val="20"/>
          <w:szCs w:val="20"/>
          <w:vertAlign w:val="superscript"/>
          <w:lang w:val="en-AU"/>
        </w:rPr>
        <w:t>3</w:t>
      </w:r>
      <w:r w:rsidRPr="00CC0C91">
        <w:rPr>
          <w:rFonts w:asciiTheme="minorBidi" w:hAnsiTheme="minorBidi"/>
          <w:sz w:val="20"/>
          <w:szCs w:val="20"/>
          <w:lang w:val="en-AU"/>
        </w:rPr>
        <w:t>, Carl M. J. Kirkpatrick</w:t>
      </w:r>
      <w:r w:rsidRPr="00CC0C91">
        <w:rPr>
          <w:rFonts w:asciiTheme="minorBidi" w:hAnsiTheme="minorBidi"/>
          <w:sz w:val="20"/>
          <w:szCs w:val="20"/>
          <w:vertAlign w:val="superscript"/>
          <w:lang w:val="en-AU"/>
        </w:rPr>
        <w:t>2</w:t>
      </w:r>
      <w:r w:rsidRPr="00CC0C91">
        <w:rPr>
          <w:rFonts w:asciiTheme="minorBidi" w:hAnsiTheme="minorBidi"/>
          <w:sz w:val="20"/>
          <w:szCs w:val="20"/>
          <w:lang w:val="en-AU"/>
        </w:rPr>
        <w:t>, Steven C. Wallis</w:t>
      </w:r>
      <w:r w:rsidRPr="00CC0C91">
        <w:rPr>
          <w:rFonts w:asciiTheme="minorBidi" w:hAnsiTheme="minorBidi"/>
          <w:sz w:val="20"/>
          <w:szCs w:val="20"/>
          <w:vertAlign w:val="superscript"/>
          <w:lang w:val="en-AU"/>
        </w:rPr>
        <w:t>4</w:t>
      </w:r>
      <w:r w:rsidRPr="00CC0C91">
        <w:rPr>
          <w:rFonts w:asciiTheme="minorBidi" w:hAnsiTheme="minorBidi"/>
          <w:sz w:val="20"/>
          <w:szCs w:val="20"/>
          <w:lang w:val="en-AU"/>
        </w:rPr>
        <w:t xml:space="preserve">, David L. </w:t>
      </w:r>
      <w:r w:rsidR="00CC0C91" w:rsidRPr="00CC0C91">
        <w:rPr>
          <w:rFonts w:asciiTheme="minorBidi" w:hAnsiTheme="minorBidi"/>
          <w:sz w:val="20"/>
          <w:szCs w:val="20"/>
          <w:lang w:val="en-AU"/>
        </w:rPr>
        <w:t>Paterson</w:t>
      </w:r>
      <w:r w:rsidR="00CC0C91" w:rsidRPr="00CC0C91">
        <w:rPr>
          <w:rFonts w:asciiTheme="minorBidi" w:hAnsiTheme="minorBidi"/>
          <w:sz w:val="20"/>
          <w:szCs w:val="20"/>
          <w:vertAlign w:val="superscript"/>
          <w:lang w:val="en-AU"/>
        </w:rPr>
        <w:t>4</w:t>
      </w:r>
      <w:r w:rsidRPr="00CC0C91">
        <w:rPr>
          <w:rFonts w:asciiTheme="minorBidi" w:hAnsiTheme="minorBidi"/>
          <w:sz w:val="20"/>
          <w:szCs w:val="20"/>
          <w:lang w:val="en-AU"/>
        </w:rPr>
        <w:t>, Roger L. Nation</w:t>
      </w:r>
      <w:r w:rsidRPr="00CC0C91">
        <w:rPr>
          <w:rFonts w:asciiTheme="minorBidi" w:hAnsiTheme="minorBidi"/>
          <w:sz w:val="20"/>
          <w:szCs w:val="20"/>
          <w:vertAlign w:val="superscript"/>
          <w:lang w:val="en-AU"/>
        </w:rPr>
        <w:t>1</w:t>
      </w:r>
      <w:r w:rsidRPr="00CC0C91">
        <w:rPr>
          <w:rFonts w:asciiTheme="minorBidi" w:hAnsiTheme="minorBidi"/>
          <w:sz w:val="20"/>
          <w:szCs w:val="20"/>
          <w:lang w:val="en-AU"/>
        </w:rPr>
        <w:t xml:space="preserve">, Jeffrey </w:t>
      </w:r>
      <w:r w:rsidR="00CC0C91" w:rsidRPr="00CC0C91">
        <w:rPr>
          <w:rFonts w:asciiTheme="minorBidi" w:hAnsiTheme="minorBidi"/>
          <w:sz w:val="20"/>
          <w:szCs w:val="20"/>
          <w:lang w:val="en-AU"/>
        </w:rPr>
        <w:t>Lipman</w:t>
      </w:r>
      <w:r w:rsidR="00CC0C91" w:rsidRPr="00CC0C91">
        <w:rPr>
          <w:rFonts w:asciiTheme="minorBidi" w:hAnsiTheme="minorBidi"/>
          <w:sz w:val="20"/>
          <w:szCs w:val="20"/>
          <w:vertAlign w:val="superscript"/>
          <w:lang w:val="en-AU"/>
        </w:rPr>
        <w:t>5</w:t>
      </w:r>
      <w:r w:rsidRPr="00CC0C91">
        <w:rPr>
          <w:rFonts w:asciiTheme="minorBidi" w:hAnsiTheme="minorBidi"/>
          <w:sz w:val="20"/>
          <w:szCs w:val="20"/>
          <w:lang w:val="en-AU"/>
        </w:rPr>
        <w:t>, Jason A. Roberts</w:t>
      </w:r>
      <w:r w:rsidRPr="00CC0C91">
        <w:rPr>
          <w:rFonts w:asciiTheme="minorBidi" w:hAnsiTheme="minorBidi"/>
          <w:sz w:val="20"/>
          <w:szCs w:val="20"/>
          <w:vertAlign w:val="superscript"/>
          <w:lang w:val="en-AU"/>
        </w:rPr>
        <w:t>4</w:t>
      </w:r>
      <w:r w:rsidR="00201C2D" w:rsidRPr="00CC0C91">
        <w:rPr>
          <w:rFonts w:asciiTheme="minorBidi" w:hAnsiTheme="minorBidi"/>
          <w:sz w:val="20"/>
          <w:szCs w:val="20"/>
          <w:vertAlign w:val="superscript"/>
          <w:lang w:val="en-AU"/>
        </w:rPr>
        <w:t>,</w:t>
      </w:r>
      <w:r w:rsidR="00D03B8B" w:rsidRPr="00CC0C91">
        <w:rPr>
          <w:rFonts w:asciiTheme="minorBidi" w:hAnsiTheme="minorBidi"/>
          <w:sz w:val="20"/>
          <w:szCs w:val="20"/>
          <w:vertAlign w:val="superscript"/>
          <w:lang w:val="en-AU"/>
        </w:rPr>
        <w:t>5,</w:t>
      </w:r>
      <w:r w:rsidR="00201C2D" w:rsidRPr="00CC0C91">
        <w:rPr>
          <w:rFonts w:asciiTheme="minorBidi" w:hAnsiTheme="minorBidi"/>
          <w:sz w:val="20"/>
          <w:szCs w:val="20"/>
          <w:vertAlign w:val="superscript"/>
          <w:lang w:val="en-AU"/>
        </w:rPr>
        <w:t>6</w:t>
      </w:r>
      <w:r w:rsidRPr="00CC0C91">
        <w:rPr>
          <w:rFonts w:asciiTheme="minorBidi" w:hAnsiTheme="minorBidi"/>
          <w:sz w:val="20"/>
          <w:szCs w:val="20"/>
          <w:lang w:val="en-AU"/>
        </w:rPr>
        <w:t xml:space="preserve"> and Cornelia B. Landersdorfer</w:t>
      </w:r>
      <w:r w:rsidRPr="00CC0C91">
        <w:rPr>
          <w:rFonts w:asciiTheme="minorBidi" w:hAnsiTheme="minorBidi"/>
          <w:sz w:val="20"/>
          <w:szCs w:val="20"/>
          <w:vertAlign w:val="superscript"/>
          <w:lang w:val="en-AU"/>
        </w:rPr>
        <w:t>1,2</w:t>
      </w:r>
      <w:r w:rsidRPr="00CC0C91">
        <w:rPr>
          <w:rFonts w:asciiTheme="minorBidi" w:hAnsiTheme="minorBidi"/>
          <w:sz w:val="20"/>
          <w:szCs w:val="20"/>
          <w:lang w:val="en-AU"/>
        </w:rPr>
        <w:t>.</w:t>
      </w:r>
      <w:r w:rsidRPr="00CC0C91">
        <w:rPr>
          <w:rFonts w:asciiTheme="minorBidi" w:hAnsiTheme="minorBidi"/>
          <w:sz w:val="20"/>
          <w:szCs w:val="20"/>
          <w:vertAlign w:val="superscript"/>
          <w:lang w:val="en-AU"/>
        </w:rPr>
        <w:t xml:space="preserve">  </w:t>
      </w:r>
    </w:p>
    <w:p w14:paraId="1D355F0E" w14:textId="2D769905" w:rsidR="00201C2D" w:rsidRPr="00CC0C91" w:rsidRDefault="007E3FF9" w:rsidP="00CC0C91">
      <w:pPr>
        <w:autoSpaceDE w:val="0"/>
        <w:autoSpaceDN w:val="0"/>
        <w:adjustRightInd w:val="0"/>
        <w:spacing w:line="240" w:lineRule="auto"/>
        <w:ind w:right="1"/>
        <w:jc w:val="both"/>
        <w:rPr>
          <w:rFonts w:asciiTheme="minorBidi" w:hAnsiTheme="minorBidi"/>
          <w:sz w:val="20"/>
          <w:szCs w:val="20"/>
          <w:lang w:val="en-AU"/>
        </w:rPr>
      </w:pPr>
      <w:r w:rsidRPr="00CC0C91">
        <w:rPr>
          <w:rFonts w:asciiTheme="minorBidi" w:hAnsiTheme="minorBidi"/>
          <w:sz w:val="20"/>
          <w:szCs w:val="20"/>
          <w:vertAlign w:val="superscript"/>
          <w:lang w:val="en-AU"/>
        </w:rPr>
        <w:t>1</w:t>
      </w:r>
      <w:r w:rsidRPr="00CC0C91">
        <w:rPr>
          <w:rFonts w:asciiTheme="minorBidi" w:hAnsiTheme="minorBidi"/>
          <w:sz w:val="20"/>
          <w:szCs w:val="20"/>
          <w:lang w:val="en-AU"/>
        </w:rPr>
        <w:t>Drug Deliver</w:t>
      </w:r>
      <w:r w:rsidR="00F52D27" w:rsidRPr="00CC0C91">
        <w:rPr>
          <w:rFonts w:asciiTheme="minorBidi" w:hAnsiTheme="minorBidi"/>
          <w:sz w:val="20"/>
          <w:szCs w:val="20"/>
          <w:lang w:val="en-AU"/>
        </w:rPr>
        <w:t>y</w:t>
      </w:r>
      <w:r w:rsidRPr="00CC0C91">
        <w:rPr>
          <w:rFonts w:asciiTheme="minorBidi" w:hAnsiTheme="minorBidi"/>
          <w:sz w:val="20"/>
          <w:szCs w:val="20"/>
          <w:lang w:val="en-AU"/>
        </w:rPr>
        <w:t xml:space="preserve">, Disposition and Dynamics, </w:t>
      </w:r>
      <w:r w:rsidRPr="00CC0C91">
        <w:rPr>
          <w:rFonts w:asciiTheme="minorBidi" w:hAnsiTheme="minorBidi"/>
          <w:sz w:val="20"/>
          <w:szCs w:val="20"/>
          <w:vertAlign w:val="superscript"/>
          <w:lang w:val="en-AU"/>
        </w:rPr>
        <w:t>2</w:t>
      </w:r>
      <w:r w:rsidRPr="00CC0C91">
        <w:rPr>
          <w:rFonts w:asciiTheme="minorBidi" w:hAnsiTheme="minorBidi"/>
          <w:sz w:val="20"/>
          <w:szCs w:val="20"/>
          <w:lang w:val="en-AU"/>
        </w:rPr>
        <w:t xml:space="preserve">Centre for Medicine Use and Safety, Monash University, Parkville, VIC, Australia; </w:t>
      </w:r>
      <w:r w:rsidRPr="00CC0C91">
        <w:rPr>
          <w:rFonts w:asciiTheme="minorBidi" w:hAnsiTheme="minorBidi"/>
          <w:sz w:val="20"/>
          <w:szCs w:val="20"/>
          <w:vertAlign w:val="superscript"/>
          <w:lang w:val="en-AU"/>
        </w:rPr>
        <w:t>3</w:t>
      </w:r>
      <w:r w:rsidRPr="00CC0C91">
        <w:rPr>
          <w:rFonts w:asciiTheme="minorBidi" w:hAnsiTheme="minorBidi"/>
          <w:sz w:val="20"/>
          <w:szCs w:val="20"/>
          <w:lang w:val="en-AU"/>
        </w:rPr>
        <w:t xml:space="preserve">Center for Pharmacometrics and Systems Pharmacology, University of Florida, Orlando, FL, USA; </w:t>
      </w:r>
      <w:r w:rsidR="00CC0C91" w:rsidRPr="00CC0C91">
        <w:rPr>
          <w:rFonts w:asciiTheme="minorBidi" w:hAnsiTheme="minorBidi"/>
          <w:sz w:val="20"/>
          <w:szCs w:val="20"/>
          <w:vertAlign w:val="superscript"/>
          <w:lang w:val="en-AU"/>
        </w:rPr>
        <w:t>4</w:t>
      </w:r>
      <w:r w:rsidR="00CC0C91" w:rsidRPr="00CC0C91">
        <w:rPr>
          <w:rFonts w:asciiTheme="minorBidi" w:hAnsiTheme="minorBidi"/>
          <w:sz w:val="20"/>
          <w:szCs w:val="20"/>
          <w:lang w:val="en-AU"/>
        </w:rPr>
        <w:t>Cent</w:t>
      </w:r>
      <w:r w:rsidR="00CC0C91">
        <w:rPr>
          <w:rFonts w:asciiTheme="minorBidi" w:hAnsiTheme="minorBidi"/>
          <w:sz w:val="20"/>
          <w:szCs w:val="20"/>
          <w:lang w:val="en-AU"/>
        </w:rPr>
        <w:t>re</w:t>
      </w:r>
      <w:r w:rsidR="00CC0C91" w:rsidRPr="00CC0C91">
        <w:rPr>
          <w:rFonts w:asciiTheme="minorBidi" w:hAnsiTheme="minorBidi"/>
          <w:sz w:val="20"/>
          <w:szCs w:val="20"/>
          <w:lang w:val="en-AU"/>
        </w:rPr>
        <w:t xml:space="preserve"> </w:t>
      </w:r>
      <w:r w:rsidR="00D03B8B" w:rsidRPr="00CC0C91">
        <w:rPr>
          <w:rFonts w:asciiTheme="minorBidi" w:hAnsiTheme="minorBidi"/>
          <w:sz w:val="20"/>
          <w:szCs w:val="20"/>
          <w:lang w:val="en-AU"/>
        </w:rPr>
        <w:t>for Clinical Research</w:t>
      </w:r>
      <w:r w:rsidRPr="00CC0C91">
        <w:rPr>
          <w:rFonts w:asciiTheme="minorBidi" w:hAnsiTheme="minorBidi"/>
          <w:sz w:val="20"/>
          <w:szCs w:val="20"/>
          <w:lang w:val="en-AU"/>
        </w:rPr>
        <w:t xml:space="preserve">, </w:t>
      </w:r>
      <w:r w:rsidRPr="00CC0C91">
        <w:rPr>
          <w:rFonts w:asciiTheme="minorBidi" w:hAnsiTheme="minorBidi"/>
          <w:sz w:val="20"/>
          <w:szCs w:val="20"/>
          <w:vertAlign w:val="superscript"/>
          <w:lang w:val="en-AU"/>
        </w:rPr>
        <w:t>5</w:t>
      </w:r>
      <w:r w:rsidR="00D03B8B" w:rsidRPr="00CC0C91">
        <w:rPr>
          <w:rFonts w:asciiTheme="minorBidi" w:hAnsiTheme="minorBidi"/>
          <w:sz w:val="20"/>
          <w:szCs w:val="20"/>
          <w:lang w:val="en-AU"/>
        </w:rPr>
        <w:t>Royal Brisbane and Women’s Hospital</w:t>
      </w:r>
      <w:r w:rsidRPr="00CC0C91">
        <w:rPr>
          <w:rFonts w:asciiTheme="minorBidi" w:hAnsiTheme="minorBidi"/>
          <w:sz w:val="20"/>
          <w:szCs w:val="20"/>
          <w:lang w:val="en-AU"/>
        </w:rPr>
        <w:t xml:space="preserve">, </w:t>
      </w:r>
      <w:r w:rsidR="00D03B8B" w:rsidRPr="00CC0C91">
        <w:rPr>
          <w:rFonts w:asciiTheme="minorBidi" w:hAnsiTheme="minorBidi"/>
          <w:sz w:val="20"/>
          <w:szCs w:val="20"/>
          <w:vertAlign w:val="superscript"/>
          <w:lang w:val="en-AU"/>
        </w:rPr>
        <w:t>6</w:t>
      </w:r>
      <w:r w:rsidR="00D03B8B" w:rsidRPr="00CC0C91">
        <w:rPr>
          <w:rFonts w:asciiTheme="minorBidi" w:hAnsiTheme="minorBidi"/>
          <w:sz w:val="20"/>
          <w:szCs w:val="20"/>
          <w:lang w:val="en-AU"/>
        </w:rPr>
        <w:t xml:space="preserve">School of Pharmacy, </w:t>
      </w:r>
      <w:r w:rsidR="00201C2D" w:rsidRPr="00CC0C91">
        <w:rPr>
          <w:rFonts w:asciiTheme="minorBidi" w:hAnsiTheme="minorBidi"/>
          <w:sz w:val="20"/>
          <w:szCs w:val="20"/>
          <w:lang w:val="en-AU"/>
        </w:rPr>
        <w:t xml:space="preserve">The University of Queensland, Brisbane, Queensland, Australia. </w:t>
      </w:r>
    </w:p>
    <w:p w14:paraId="5D72984D" w14:textId="6C847B53" w:rsidR="007E3FF9" w:rsidRPr="00CC0C91" w:rsidRDefault="00701924" w:rsidP="00CC0C91">
      <w:pPr>
        <w:spacing w:line="240" w:lineRule="auto"/>
        <w:jc w:val="both"/>
        <w:rPr>
          <w:rFonts w:asciiTheme="minorBidi" w:hAnsiTheme="minorBidi"/>
          <w:sz w:val="20"/>
          <w:szCs w:val="20"/>
          <w:lang w:val="en-AU"/>
        </w:rPr>
      </w:pPr>
      <w:r w:rsidRPr="00CC0C91">
        <w:rPr>
          <w:rFonts w:asciiTheme="minorBidi" w:hAnsiTheme="minorBidi"/>
          <w:b/>
          <w:sz w:val="20"/>
          <w:szCs w:val="20"/>
          <w:lang w:val="en-AU"/>
        </w:rPr>
        <w:t>Aims</w:t>
      </w:r>
      <w:r w:rsidR="00081DD6" w:rsidRPr="00CC0C91">
        <w:rPr>
          <w:rFonts w:asciiTheme="minorBidi" w:hAnsiTheme="minorBidi"/>
          <w:sz w:val="20"/>
          <w:szCs w:val="20"/>
          <w:lang w:val="en-AU"/>
        </w:rPr>
        <w:t>:</w:t>
      </w:r>
      <w:r w:rsidR="009D7B85" w:rsidRPr="00CC0C91">
        <w:rPr>
          <w:rFonts w:asciiTheme="minorBidi" w:hAnsiTheme="minorBidi"/>
          <w:sz w:val="20"/>
          <w:szCs w:val="20"/>
          <w:lang w:val="en-AU"/>
        </w:rPr>
        <w:t xml:space="preserve"> </w:t>
      </w:r>
      <w:r w:rsidR="007E3FF9" w:rsidRPr="00CC0C91">
        <w:rPr>
          <w:rFonts w:asciiTheme="minorBidi" w:hAnsiTheme="minorBidi"/>
          <w:sz w:val="20"/>
          <w:szCs w:val="20"/>
          <w:lang w:val="en-AU"/>
        </w:rPr>
        <w:t>Augmented renal clearance (ARC) in critically-ill patients can result in suboptimal drug exposures and potential treatment failure.</w:t>
      </w:r>
      <w:r w:rsidR="009D7B85" w:rsidRPr="00CC0C91">
        <w:rPr>
          <w:rFonts w:asciiTheme="minorBidi" w:hAnsiTheme="minorBidi"/>
          <w:sz w:val="20"/>
          <w:szCs w:val="20"/>
          <w:lang w:val="en-AU"/>
        </w:rPr>
        <w:t xml:space="preserve"> </w:t>
      </w:r>
      <w:r w:rsidR="007E3FF9" w:rsidRPr="00CC0C91">
        <w:rPr>
          <w:rFonts w:asciiTheme="minorBidi" w:hAnsiTheme="minorBidi"/>
          <w:sz w:val="20"/>
          <w:szCs w:val="20"/>
          <w:lang w:val="en-AU"/>
        </w:rPr>
        <w:t>This study aimed to design optimised combination dosage regimens of piperacillin and tobramycin</w:t>
      </w:r>
      <w:r w:rsidR="00D03B8B" w:rsidRPr="00CC0C91">
        <w:rPr>
          <w:rFonts w:asciiTheme="minorBidi" w:hAnsiTheme="minorBidi"/>
          <w:sz w:val="20"/>
          <w:szCs w:val="20"/>
          <w:lang w:val="en-AU"/>
        </w:rPr>
        <w:t xml:space="preserve"> </w:t>
      </w:r>
      <w:r w:rsidR="007E3FF9" w:rsidRPr="00CC0C91">
        <w:rPr>
          <w:rFonts w:asciiTheme="minorBidi" w:hAnsiTheme="minorBidi"/>
          <w:sz w:val="20"/>
          <w:szCs w:val="20"/>
          <w:lang w:val="en-AU"/>
        </w:rPr>
        <w:t xml:space="preserve">against a </w:t>
      </w:r>
      <w:r w:rsidR="007E3FF9" w:rsidRPr="00CC0C91">
        <w:rPr>
          <w:rFonts w:asciiTheme="minorBidi" w:eastAsia="Times New Roman" w:hAnsiTheme="minorBidi"/>
          <w:i/>
          <w:iCs/>
          <w:sz w:val="20"/>
          <w:szCs w:val="20"/>
          <w:lang w:val="en-AU"/>
        </w:rPr>
        <w:t>Pseudomonas aeruginosa</w:t>
      </w:r>
      <w:r w:rsidR="00D03B8B" w:rsidRPr="00CC0C91">
        <w:rPr>
          <w:rFonts w:asciiTheme="minorBidi" w:eastAsia="Times New Roman" w:hAnsiTheme="minorBidi"/>
          <w:i/>
          <w:iCs/>
          <w:sz w:val="20"/>
          <w:szCs w:val="20"/>
          <w:lang w:val="en-AU"/>
        </w:rPr>
        <w:t xml:space="preserve"> </w:t>
      </w:r>
      <w:r w:rsidR="00D03B8B" w:rsidRPr="00CC0C91">
        <w:rPr>
          <w:rFonts w:asciiTheme="minorBidi" w:eastAsia="Times New Roman" w:hAnsiTheme="minorBidi"/>
          <w:sz w:val="20"/>
          <w:szCs w:val="20"/>
          <w:lang w:val="en-AU"/>
        </w:rPr>
        <w:t>(P</w:t>
      </w:r>
      <w:bookmarkStart w:id="0" w:name="_GoBack"/>
      <w:bookmarkEnd w:id="0"/>
      <w:r w:rsidR="00D03B8B" w:rsidRPr="00CC0C91">
        <w:rPr>
          <w:rFonts w:asciiTheme="minorBidi" w:eastAsia="Times New Roman" w:hAnsiTheme="minorBidi"/>
          <w:sz w:val="20"/>
          <w:szCs w:val="20"/>
          <w:lang w:val="en-AU"/>
        </w:rPr>
        <w:t>a)</w:t>
      </w:r>
      <w:r w:rsidR="007E3FF9" w:rsidRPr="00CC0C91">
        <w:rPr>
          <w:rFonts w:asciiTheme="minorBidi" w:hAnsiTheme="minorBidi"/>
          <w:sz w:val="20"/>
          <w:szCs w:val="20"/>
          <w:lang w:val="en-AU"/>
        </w:rPr>
        <w:t xml:space="preserve"> clinical isolate </w:t>
      </w:r>
      <w:r w:rsidR="00F52D27" w:rsidRPr="00CC0C91">
        <w:rPr>
          <w:rFonts w:asciiTheme="minorBidi" w:hAnsiTheme="minorBidi"/>
          <w:sz w:val="20"/>
          <w:szCs w:val="20"/>
          <w:lang w:val="en-AU"/>
        </w:rPr>
        <w:t xml:space="preserve">and evaluate them </w:t>
      </w:r>
      <w:r w:rsidR="007E3FF9" w:rsidRPr="00CC0C91">
        <w:rPr>
          <w:rFonts w:asciiTheme="minorBidi" w:hAnsiTheme="minorBidi"/>
          <w:sz w:val="20"/>
          <w:szCs w:val="20"/>
          <w:lang w:val="en-AU"/>
        </w:rPr>
        <w:t>in the hollow</w:t>
      </w:r>
      <w:r w:rsidR="00F52D27" w:rsidRPr="00CC0C91">
        <w:rPr>
          <w:rFonts w:asciiTheme="minorBidi" w:hAnsiTheme="minorBidi"/>
          <w:sz w:val="20"/>
          <w:szCs w:val="20"/>
          <w:lang w:val="en-AU"/>
        </w:rPr>
        <w:t>-</w:t>
      </w:r>
      <w:r w:rsidR="007E3FF9" w:rsidRPr="00CC0C91">
        <w:rPr>
          <w:rFonts w:asciiTheme="minorBidi" w:hAnsiTheme="minorBidi"/>
          <w:sz w:val="20"/>
          <w:szCs w:val="20"/>
          <w:lang w:val="en-AU"/>
        </w:rPr>
        <w:t xml:space="preserve">fibre infection model (HFIM) for </w:t>
      </w:r>
      <w:r w:rsidR="00F52D27" w:rsidRPr="00CC0C91">
        <w:rPr>
          <w:rFonts w:asciiTheme="minorBidi" w:hAnsiTheme="minorBidi"/>
          <w:sz w:val="20"/>
          <w:szCs w:val="20"/>
          <w:lang w:val="en-AU"/>
        </w:rPr>
        <w:t xml:space="preserve">the pharmacokinetics of </w:t>
      </w:r>
      <w:r w:rsidR="007E3FF9" w:rsidRPr="00CC0C91">
        <w:rPr>
          <w:rFonts w:asciiTheme="minorBidi" w:hAnsiTheme="minorBidi"/>
          <w:sz w:val="20"/>
          <w:szCs w:val="20"/>
          <w:lang w:val="en-AU"/>
        </w:rPr>
        <w:t xml:space="preserve">patients with ARC. </w:t>
      </w:r>
    </w:p>
    <w:p w14:paraId="0E7D3FCC" w14:textId="7F81522F" w:rsidR="00D03B8B" w:rsidRPr="00CC0C91" w:rsidRDefault="00081DD6" w:rsidP="00CC0C91">
      <w:pPr>
        <w:spacing w:line="240" w:lineRule="auto"/>
        <w:jc w:val="both"/>
        <w:rPr>
          <w:rFonts w:asciiTheme="minorBidi" w:hAnsiTheme="minorBidi"/>
          <w:sz w:val="20"/>
          <w:szCs w:val="20"/>
          <w:lang w:val="en-AU"/>
        </w:rPr>
      </w:pPr>
      <w:r w:rsidRPr="00CC0C91">
        <w:rPr>
          <w:rFonts w:asciiTheme="minorBidi" w:hAnsiTheme="minorBidi"/>
          <w:b/>
          <w:sz w:val="20"/>
          <w:szCs w:val="20"/>
          <w:lang w:val="en-AU"/>
        </w:rPr>
        <w:t>Methods</w:t>
      </w:r>
      <w:r w:rsidRPr="00CC0C91">
        <w:rPr>
          <w:rFonts w:asciiTheme="minorBidi" w:hAnsiTheme="minorBidi"/>
          <w:sz w:val="20"/>
          <w:szCs w:val="20"/>
          <w:lang w:val="en-AU"/>
        </w:rPr>
        <w:t xml:space="preserve">: </w:t>
      </w:r>
      <w:r w:rsidR="007E3FF9" w:rsidRPr="00CC0C91">
        <w:rPr>
          <w:rFonts w:asciiTheme="minorBidi" w:hAnsiTheme="minorBidi"/>
          <w:sz w:val="20"/>
          <w:szCs w:val="20"/>
          <w:lang w:val="en-AU"/>
        </w:rPr>
        <w:t xml:space="preserve">We studied clinically relevant </w:t>
      </w:r>
      <w:r w:rsidR="00201C2D" w:rsidRPr="00CC0C91">
        <w:rPr>
          <w:rFonts w:asciiTheme="minorBidi" w:hAnsiTheme="minorBidi"/>
          <w:sz w:val="20"/>
          <w:szCs w:val="20"/>
          <w:lang w:val="en-AU"/>
        </w:rPr>
        <w:t>piperacillin</w:t>
      </w:r>
      <w:r w:rsidR="007E3FF9" w:rsidRPr="00CC0C91">
        <w:rPr>
          <w:rFonts w:asciiTheme="minorBidi" w:hAnsiTheme="minorBidi"/>
          <w:sz w:val="20"/>
          <w:szCs w:val="20"/>
          <w:lang w:val="en-AU"/>
        </w:rPr>
        <w:t xml:space="preserve"> and </w:t>
      </w:r>
      <w:r w:rsidR="00D03B8B" w:rsidRPr="00CC0C91">
        <w:rPr>
          <w:rFonts w:asciiTheme="minorBidi" w:hAnsiTheme="minorBidi"/>
          <w:sz w:val="20"/>
          <w:szCs w:val="20"/>
          <w:lang w:val="en-AU"/>
        </w:rPr>
        <w:t>tobramycin</w:t>
      </w:r>
      <w:r w:rsidR="007E3FF9" w:rsidRPr="00CC0C91">
        <w:rPr>
          <w:rFonts w:asciiTheme="minorBidi" w:hAnsiTheme="minorBidi"/>
          <w:sz w:val="20"/>
          <w:szCs w:val="20"/>
          <w:lang w:val="en-AU"/>
        </w:rPr>
        <w:t xml:space="preserve"> concentrations, alone and in combinations in </w:t>
      </w:r>
      <w:r w:rsidR="007E3FF9" w:rsidRPr="00CC0C91">
        <w:rPr>
          <w:rFonts w:asciiTheme="minorBidi" w:hAnsiTheme="minorBidi"/>
          <w:i/>
          <w:iCs/>
          <w:sz w:val="20"/>
          <w:szCs w:val="20"/>
          <w:lang w:val="en-AU"/>
        </w:rPr>
        <w:t>in vitro</w:t>
      </w:r>
      <w:r w:rsidR="007E3FF9" w:rsidRPr="00CC0C91">
        <w:rPr>
          <w:rFonts w:asciiTheme="minorBidi" w:hAnsiTheme="minorBidi"/>
          <w:sz w:val="20"/>
          <w:szCs w:val="20"/>
          <w:lang w:val="en-AU"/>
        </w:rPr>
        <w:t xml:space="preserve"> static concentration time-kills (SCTK), against a Pa clinical isolate at two inocula (10</w:t>
      </w:r>
      <w:r w:rsidR="007E3FF9" w:rsidRPr="00CC0C91">
        <w:rPr>
          <w:rFonts w:asciiTheme="minorBidi" w:hAnsiTheme="minorBidi"/>
          <w:sz w:val="20"/>
          <w:szCs w:val="20"/>
          <w:vertAlign w:val="superscript"/>
          <w:lang w:val="en-AU"/>
        </w:rPr>
        <w:t>5.7</w:t>
      </w:r>
      <w:r w:rsidR="007E3FF9" w:rsidRPr="00CC0C91">
        <w:rPr>
          <w:rFonts w:asciiTheme="minorBidi" w:hAnsiTheme="minorBidi"/>
          <w:sz w:val="20"/>
          <w:szCs w:val="20"/>
          <w:lang w:val="en-AU"/>
        </w:rPr>
        <w:t xml:space="preserve"> and 10</w:t>
      </w:r>
      <w:r w:rsidR="007E3FF9" w:rsidRPr="00CC0C91">
        <w:rPr>
          <w:rFonts w:asciiTheme="minorBidi" w:hAnsiTheme="minorBidi"/>
          <w:sz w:val="20"/>
          <w:szCs w:val="20"/>
          <w:vertAlign w:val="superscript"/>
          <w:lang w:val="en-AU"/>
        </w:rPr>
        <w:t xml:space="preserve">7.5 </w:t>
      </w:r>
      <w:r w:rsidR="00F52D27" w:rsidRPr="00CC0C91">
        <w:rPr>
          <w:rFonts w:asciiTheme="minorBidi" w:hAnsiTheme="minorBidi"/>
          <w:sz w:val="20"/>
          <w:szCs w:val="20"/>
          <w:lang w:val="en-AU"/>
        </w:rPr>
        <w:t>CFU</w:t>
      </w:r>
      <w:r w:rsidR="00781934" w:rsidRPr="00CC0C91">
        <w:rPr>
          <w:rFonts w:asciiTheme="minorBidi" w:hAnsiTheme="minorBidi"/>
          <w:sz w:val="20"/>
          <w:szCs w:val="20"/>
          <w:lang w:val="en-AU"/>
        </w:rPr>
        <w:t>/mL) over 72h. P</w:t>
      </w:r>
      <w:r w:rsidR="00201C2D" w:rsidRPr="00CC0C91">
        <w:rPr>
          <w:rFonts w:asciiTheme="minorBidi" w:hAnsiTheme="minorBidi"/>
          <w:sz w:val="20"/>
          <w:szCs w:val="20"/>
          <w:lang w:val="en-AU"/>
        </w:rPr>
        <w:t xml:space="preserve">iperacillin </w:t>
      </w:r>
      <w:r w:rsidR="00781934" w:rsidRPr="00CC0C91">
        <w:rPr>
          <w:rFonts w:asciiTheme="minorBidi" w:hAnsiTheme="minorBidi"/>
          <w:sz w:val="20"/>
          <w:szCs w:val="20"/>
          <w:lang w:val="en-AU"/>
        </w:rPr>
        <w:t>and</w:t>
      </w:r>
      <w:r w:rsidR="007E3FF9" w:rsidRPr="00CC0C91">
        <w:rPr>
          <w:rFonts w:asciiTheme="minorBidi" w:hAnsiTheme="minorBidi"/>
          <w:sz w:val="20"/>
          <w:szCs w:val="20"/>
          <w:lang w:val="en-AU"/>
        </w:rPr>
        <w:t xml:space="preserve"> </w:t>
      </w:r>
      <w:r w:rsidR="00201C2D" w:rsidRPr="00CC0C91">
        <w:rPr>
          <w:rFonts w:asciiTheme="minorBidi" w:hAnsiTheme="minorBidi"/>
          <w:sz w:val="20"/>
          <w:szCs w:val="20"/>
          <w:lang w:val="en-AU"/>
        </w:rPr>
        <w:t>tobramycin</w:t>
      </w:r>
      <w:r w:rsidR="007E3FF9" w:rsidRPr="00CC0C91">
        <w:rPr>
          <w:rFonts w:asciiTheme="minorBidi" w:hAnsiTheme="minorBidi"/>
          <w:sz w:val="20"/>
          <w:szCs w:val="20"/>
          <w:lang w:val="en-AU"/>
        </w:rPr>
        <w:t xml:space="preserve"> </w:t>
      </w:r>
      <w:r w:rsidR="00781934" w:rsidRPr="00CC0C91">
        <w:rPr>
          <w:rFonts w:asciiTheme="minorBidi" w:hAnsiTheme="minorBidi"/>
          <w:sz w:val="20"/>
          <w:szCs w:val="20"/>
          <w:lang w:val="en-AU"/>
        </w:rPr>
        <w:t xml:space="preserve">combination </w:t>
      </w:r>
      <w:r w:rsidR="007E3FF9" w:rsidRPr="00CC0C91">
        <w:rPr>
          <w:rFonts w:asciiTheme="minorBidi" w:hAnsiTheme="minorBidi"/>
          <w:sz w:val="20"/>
          <w:szCs w:val="20"/>
          <w:lang w:val="en-AU"/>
        </w:rPr>
        <w:t>regimens</w:t>
      </w:r>
      <w:r w:rsidR="00781934" w:rsidRPr="00CC0C91">
        <w:rPr>
          <w:rFonts w:asciiTheme="minorBidi" w:hAnsiTheme="minorBidi"/>
          <w:sz w:val="20"/>
          <w:szCs w:val="20"/>
          <w:lang w:val="en-AU"/>
        </w:rPr>
        <w:t xml:space="preserve"> were optimised </w:t>
      </w:r>
      <w:r w:rsidR="007E3FF9" w:rsidRPr="00CC0C91">
        <w:rPr>
          <w:rFonts w:asciiTheme="minorBidi" w:hAnsiTheme="minorBidi"/>
          <w:i/>
          <w:iCs/>
          <w:sz w:val="20"/>
          <w:szCs w:val="20"/>
          <w:lang w:val="en-AU"/>
        </w:rPr>
        <w:t>via</w:t>
      </w:r>
      <w:r w:rsidR="007E3FF9" w:rsidRPr="00CC0C91">
        <w:rPr>
          <w:rFonts w:asciiTheme="minorBidi" w:hAnsiTheme="minorBidi"/>
          <w:sz w:val="20"/>
          <w:szCs w:val="20"/>
          <w:lang w:val="en-AU"/>
        </w:rPr>
        <w:t xml:space="preserve"> mechanism-based modelling (MBM) of SCTK data. </w:t>
      </w:r>
      <w:r w:rsidR="00674678" w:rsidRPr="00CC0C91">
        <w:rPr>
          <w:rFonts w:asciiTheme="minorBidi" w:hAnsiTheme="minorBidi"/>
          <w:sz w:val="20"/>
          <w:szCs w:val="20"/>
          <w:shd w:val="clear" w:color="auto" w:fill="FFFFFF"/>
          <w:lang w:val="en-AU"/>
        </w:rPr>
        <w:t>The importance sampling algorithm (pmethod=4) was used for simultaneous estimation of all PD parameters u</w:t>
      </w:r>
      <w:r w:rsidR="00F52D27" w:rsidRPr="00CC0C91">
        <w:rPr>
          <w:rFonts w:asciiTheme="minorBidi" w:hAnsiTheme="minorBidi"/>
          <w:sz w:val="20"/>
          <w:szCs w:val="20"/>
          <w:shd w:val="clear" w:color="auto" w:fill="FFFFFF"/>
          <w:lang w:val="en-AU"/>
        </w:rPr>
        <w:t>tili</w:t>
      </w:r>
      <w:r w:rsidR="00674678" w:rsidRPr="00CC0C91">
        <w:rPr>
          <w:rFonts w:asciiTheme="minorBidi" w:hAnsiTheme="minorBidi"/>
          <w:sz w:val="20"/>
          <w:szCs w:val="20"/>
          <w:shd w:val="clear" w:color="auto" w:fill="FFFFFF"/>
          <w:lang w:val="en-AU"/>
        </w:rPr>
        <w:t xml:space="preserve">sing parallelised S-ADAPT (version 1.57) facilitated by SADAPT-TRAN. </w:t>
      </w:r>
      <w:r w:rsidR="007E3FF9" w:rsidRPr="00CC0C91">
        <w:rPr>
          <w:rFonts w:asciiTheme="minorBidi" w:hAnsiTheme="minorBidi"/>
          <w:sz w:val="20"/>
          <w:szCs w:val="20"/>
          <w:lang w:val="en-AU"/>
        </w:rPr>
        <w:t>The effect</w:t>
      </w:r>
      <w:r w:rsidR="00F52D27" w:rsidRPr="00CC0C91">
        <w:rPr>
          <w:rFonts w:asciiTheme="minorBidi" w:hAnsiTheme="minorBidi"/>
          <w:sz w:val="20"/>
          <w:szCs w:val="20"/>
          <w:lang w:val="en-AU"/>
        </w:rPr>
        <w:t>s</w:t>
      </w:r>
      <w:r w:rsidR="007E3FF9" w:rsidRPr="00CC0C91">
        <w:rPr>
          <w:rFonts w:asciiTheme="minorBidi" w:hAnsiTheme="minorBidi"/>
          <w:sz w:val="20"/>
          <w:szCs w:val="20"/>
          <w:lang w:val="en-AU"/>
        </w:rPr>
        <w:t xml:space="preserve"> of optimised </w:t>
      </w:r>
      <w:r w:rsidR="00201C2D" w:rsidRPr="00CC0C91">
        <w:rPr>
          <w:rFonts w:asciiTheme="minorBidi" w:hAnsiTheme="minorBidi"/>
          <w:sz w:val="20"/>
          <w:szCs w:val="20"/>
          <w:lang w:val="en-AU"/>
        </w:rPr>
        <w:t>piperacillin</w:t>
      </w:r>
      <w:r w:rsidR="007E3FF9" w:rsidRPr="00CC0C91">
        <w:rPr>
          <w:rFonts w:asciiTheme="minorBidi" w:hAnsiTheme="minorBidi"/>
          <w:sz w:val="20"/>
          <w:szCs w:val="20"/>
          <w:lang w:val="en-AU"/>
        </w:rPr>
        <w:t xml:space="preserve"> (4g q4h, 0.5h infusion) plus </w:t>
      </w:r>
      <w:r w:rsidR="00201C2D" w:rsidRPr="00CC0C91">
        <w:rPr>
          <w:rFonts w:asciiTheme="minorBidi" w:hAnsiTheme="minorBidi"/>
          <w:sz w:val="20"/>
          <w:szCs w:val="20"/>
          <w:lang w:val="en-AU"/>
        </w:rPr>
        <w:t>tobramycin</w:t>
      </w:r>
      <w:r w:rsidR="007E3FF9" w:rsidRPr="00CC0C91">
        <w:rPr>
          <w:rFonts w:asciiTheme="minorBidi" w:hAnsiTheme="minorBidi"/>
          <w:sz w:val="20"/>
          <w:szCs w:val="20"/>
          <w:lang w:val="en-AU"/>
        </w:rPr>
        <w:t xml:space="preserve"> (5 mg/kg q24h, 7 mg/kg q24h and 10 mg/kg q48h as 0.5h infusions) regimens on bacterial killing and </w:t>
      </w:r>
      <w:r w:rsidR="00F52D27" w:rsidRPr="00CC0C91">
        <w:rPr>
          <w:rFonts w:asciiTheme="minorBidi" w:hAnsiTheme="minorBidi"/>
          <w:sz w:val="20"/>
          <w:szCs w:val="20"/>
          <w:lang w:val="en-AU"/>
        </w:rPr>
        <w:t xml:space="preserve">resistance </w:t>
      </w:r>
      <w:r w:rsidR="007E3FF9" w:rsidRPr="00CC0C91">
        <w:rPr>
          <w:rFonts w:asciiTheme="minorBidi" w:hAnsiTheme="minorBidi"/>
          <w:sz w:val="20"/>
          <w:szCs w:val="20"/>
          <w:lang w:val="en-AU"/>
        </w:rPr>
        <w:t>was evaluated in the HFIM for patients with ARC (creatinine clearance 250 mL/min) over 8 days.</w:t>
      </w:r>
    </w:p>
    <w:p w14:paraId="5AD1999F" w14:textId="1F47FF67" w:rsidR="007E3FF9" w:rsidRPr="00CC0C91" w:rsidRDefault="00081DD6" w:rsidP="00CC0C91">
      <w:pPr>
        <w:spacing w:line="240" w:lineRule="auto"/>
        <w:jc w:val="both"/>
        <w:rPr>
          <w:rFonts w:asciiTheme="minorBidi" w:hAnsiTheme="minorBidi"/>
          <w:sz w:val="20"/>
          <w:szCs w:val="20"/>
          <w:lang w:val="en-AU"/>
        </w:rPr>
      </w:pPr>
      <w:r w:rsidRPr="00CC0C91">
        <w:rPr>
          <w:rFonts w:asciiTheme="minorBidi" w:hAnsiTheme="minorBidi"/>
          <w:b/>
          <w:sz w:val="20"/>
          <w:szCs w:val="20"/>
          <w:lang w:val="en-AU"/>
        </w:rPr>
        <w:t>Results</w:t>
      </w:r>
      <w:r w:rsidRPr="00CC0C91">
        <w:rPr>
          <w:rFonts w:asciiTheme="minorBidi" w:hAnsiTheme="minorBidi"/>
          <w:sz w:val="20"/>
          <w:szCs w:val="20"/>
          <w:lang w:val="en-AU"/>
        </w:rPr>
        <w:t xml:space="preserve">: </w:t>
      </w:r>
      <w:r w:rsidR="00201C2D" w:rsidRPr="00CC0C91">
        <w:rPr>
          <w:rFonts w:asciiTheme="minorBidi" w:hAnsiTheme="minorBidi"/>
          <w:sz w:val="20"/>
          <w:szCs w:val="20"/>
          <w:lang w:val="en-AU"/>
        </w:rPr>
        <w:t>In SCTKs,</w:t>
      </w:r>
      <w:r w:rsidR="00201C2D" w:rsidRPr="00CC0C91" w:rsidDel="00F25780">
        <w:rPr>
          <w:rFonts w:asciiTheme="minorBidi" w:hAnsiTheme="minorBidi"/>
          <w:sz w:val="20"/>
          <w:szCs w:val="20"/>
          <w:lang w:val="en-AU"/>
        </w:rPr>
        <w:t xml:space="preserve"> </w:t>
      </w:r>
      <w:r w:rsidR="00201C2D" w:rsidRPr="00CC0C91">
        <w:rPr>
          <w:rFonts w:asciiTheme="minorBidi" w:hAnsiTheme="minorBidi"/>
          <w:sz w:val="20"/>
          <w:szCs w:val="20"/>
          <w:lang w:val="en-AU"/>
        </w:rPr>
        <w:t>piperacillin plus tobramycin (except combinations with 8 mg/</w:t>
      </w:r>
      <w:r w:rsidR="00F52D27" w:rsidRPr="00CC0C91">
        <w:rPr>
          <w:rFonts w:asciiTheme="minorBidi" w:hAnsiTheme="minorBidi"/>
          <w:sz w:val="20"/>
          <w:szCs w:val="20"/>
          <w:lang w:val="en-AU"/>
        </w:rPr>
        <w:t xml:space="preserve">L </w:t>
      </w:r>
      <w:r w:rsidR="00201C2D" w:rsidRPr="00CC0C91">
        <w:rPr>
          <w:rFonts w:asciiTheme="minorBidi" w:hAnsiTheme="minorBidi"/>
          <w:sz w:val="20"/>
          <w:szCs w:val="20"/>
          <w:lang w:val="en-AU"/>
        </w:rPr>
        <w:t>tobramycin at low inoculum) achieved synergistic killing (≥2 log</w:t>
      </w:r>
      <w:r w:rsidR="00201C2D" w:rsidRPr="00CC0C91">
        <w:rPr>
          <w:rFonts w:asciiTheme="minorBidi" w:hAnsiTheme="minorBidi"/>
          <w:sz w:val="20"/>
          <w:szCs w:val="20"/>
          <w:vertAlign w:val="subscript"/>
          <w:lang w:val="en-AU"/>
        </w:rPr>
        <w:t>10</w:t>
      </w:r>
      <w:r w:rsidR="00201C2D" w:rsidRPr="00CC0C91">
        <w:rPr>
          <w:rFonts w:asciiTheme="minorBidi" w:hAnsiTheme="minorBidi"/>
          <w:sz w:val="20"/>
          <w:szCs w:val="20"/>
          <w:lang w:val="en-AU"/>
        </w:rPr>
        <w:t xml:space="preserve"> </w:t>
      </w:r>
      <w:r w:rsidR="00201C2D" w:rsidRPr="00CC0C91">
        <w:rPr>
          <w:rFonts w:asciiTheme="minorBidi" w:hAnsiTheme="minorBidi"/>
          <w:i/>
          <w:iCs/>
          <w:sz w:val="20"/>
          <w:szCs w:val="20"/>
          <w:lang w:val="en-AU"/>
        </w:rPr>
        <w:t>vs.</w:t>
      </w:r>
      <w:r w:rsidR="00201C2D" w:rsidRPr="00CC0C91">
        <w:rPr>
          <w:rFonts w:asciiTheme="minorBidi" w:hAnsiTheme="minorBidi"/>
          <w:sz w:val="20"/>
          <w:szCs w:val="20"/>
          <w:lang w:val="en-AU"/>
        </w:rPr>
        <w:t xml:space="preserve"> the most active monotherapy at 48h and 72h) and prevented regrowth.</w:t>
      </w:r>
      <w:r w:rsidR="00CC0C91">
        <w:rPr>
          <w:rFonts w:asciiTheme="minorBidi" w:hAnsiTheme="minorBidi"/>
          <w:sz w:val="20"/>
          <w:szCs w:val="20"/>
          <w:lang w:val="en-AU"/>
        </w:rPr>
        <w:t xml:space="preserve"> </w:t>
      </w:r>
      <w:r w:rsidR="00CC0C91" w:rsidRPr="00CC0C91">
        <w:rPr>
          <w:rFonts w:asciiTheme="minorBidi" w:hAnsiTheme="minorBidi"/>
          <w:sz w:val="20"/>
          <w:szCs w:val="20"/>
        </w:rPr>
        <w:t>The synergistic effect was mode</w:t>
      </w:r>
      <w:r w:rsidR="00CC0C91">
        <w:rPr>
          <w:rFonts w:asciiTheme="minorBidi" w:hAnsiTheme="minorBidi"/>
          <w:sz w:val="20"/>
          <w:szCs w:val="20"/>
        </w:rPr>
        <w:t>l</w:t>
      </w:r>
      <w:r w:rsidR="00CC0C91" w:rsidRPr="00CC0C91">
        <w:rPr>
          <w:rFonts w:asciiTheme="minorBidi" w:hAnsiTheme="minorBidi"/>
          <w:sz w:val="20"/>
          <w:szCs w:val="20"/>
        </w:rPr>
        <w:t xml:space="preserve">led </w:t>
      </w:r>
      <w:r w:rsidR="00CC0C91" w:rsidRPr="00CC0C91">
        <w:rPr>
          <w:rFonts w:asciiTheme="minorBidi" w:hAnsiTheme="minorBidi"/>
          <w:i/>
          <w:iCs/>
          <w:sz w:val="20"/>
          <w:szCs w:val="20"/>
        </w:rPr>
        <w:t>via</w:t>
      </w:r>
      <w:r w:rsidR="00CC0C91" w:rsidRPr="00CC0C91">
        <w:rPr>
          <w:rFonts w:asciiTheme="minorBidi" w:hAnsiTheme="minorBidi"/>
          <w:sz w:val="20"/>
          <w:szCs w:val="20"/>
        </w:rPr>
        <w:t xml:space="preserve"> a disruption of the bacterial outer membrane by tobramycin</w:t>
      </w:r>
      <w:r w:rsidR="00CC0C91">
        <w:rPr>
          <w:rFonts w:asciiTheme="minorBidi" w:hAnsiTheme="minorBidi"/>
          <w:sz w:val="20"/>
          <w:szCs w:val="20"/>
        </w:rPr>
        <w:t>.</w:t>
      </w:r>
      <w:r w:rsidR="00201C2D" w:rsidRPr="00CC0C91">
        <w:rPr>
          <w:rFonts w:asciiTheme="minorBidi" w:hAnsiTheme="minorBidi"/>
          <w:sz w:val="20"/>
          <w:szCs w:val="20"/>
          <w:lang w:val="en-AU"/>
        </w:rPr>
        <w:t xml:space="preserve"> Piperacillin</w:t>
      </w:r>
      <w:r w:rsidR="007E3FF9" w:rsidRPr="00CC0C91">
        <w:rPr>
          <w:rFonts w:asciiTheme="minorBidi" w:hAnsiTheme="minorBidi"/>
          <w:sz w:val="20"/>
          <w:szCs w:val="20"/>
          <w:lang w:val="en-AU"/>
        </w:rPr>
        <w:t xml:space="preserve"> monotherapy (4g every 4h) in the HFIM provided 2.4 log</w:t>
      </w:r>
      <w:r w:rsidR="007E3FF9" w:rsidRPr="00CC0C91">
        <w:rPr>
          <w:rFonts w:asciiTheme="minorBidi" w:hAnsiTheme="minorBidi"/>
          <w:sz w:val="20"/>
          <w:szCs w:val="20"/>
          <w:vertAlign w:val="subscript"/>
          <w:lang w:val="en-AU"/>
        </w:rPr>
        <w:t>10</w:t>
      </w:r>
      <w:r w:rsidR="007E3FF9" w:rsidRPr="00CC0C91">
        <w:rPr>
          <w:rFonts w:asciiTheme="minorBidi" w:hAnsiTheme="minorBidi"/>
          <w:sz w:val="20"/>
          <w:szCs w:val="20"/>
          <w:lang w:val="en-AU"/>
        </w:rPr>
        <w:t xml:space="preserve"> killing at 13h followed by rapid regrowth at 24h with resistance emergence. </w:t>
      </w:r>
      <w:r w:rsidR="00201C2D" w:rsidRPr="00CC0C91">
        <w:rPr>
          <w:rFonts w:asciiTheme="minorBidi" w:hAnsiTheme="minorBidi"/>
          <w:sz w:val="20"/>
          <w:szCs w:val="20"/>
          <w:lang w:val="en-AU"/>
        </w:rPr>
        <w:t>Tobramycin</w:t>
      </w:r>
      <w:r w:rsidR="007E3FF9" w:rsidRPr="00CC0C91">
        <w:rPr>
          <w:rFonts w:asciiTheme="minorBidi" w:hAnsiTheme="minorBidi"/>
          <w:sz w:val="20"/>
          <w:szCs w:val="20"/>
          <w:lang w:val="en-AU"/>
        </w:rPr>
        <w:t xml:space="preserve"> monotherapies displayed rapid initial killing (≥5 log</w:t>
      </w:r>
      <w:r w:rsidR="007E3FF9" w:rsidRPr="00CC0C91">
        <w:rPr>
          <w:rFonts w:asciiTheme="minorBidi" w:hAnsiTheme="minorBidi"/>
          <w:sz w:val="20"/>
          <w:szCs w:val="20"/>
          <w:vertAlign w:val="subscript"/>
          <w:lang w:val="en-AU"/>
        </w:rPr>
        <w:t>10</w:t>
      </w:r>
      <w:r w:rsidR="007E3FF9" w:rsidRPr="00CC0C91">
        <w:rPr>
          <w:rFonts w:asciiTheme="minorBidi" w:hAnsiTheme="minorBidi"/>
          <w:sz w:val="20"/>
          <w:szCs w:val="20"/>
          <w:lang w:val="en-AU"/>
        </w:rPr>
        <w:t xml:space="preserve"> at 13h) followed by extensive regrowth. </w:t>
      </w:r>
      <w:r w:rsidR="00201C2D" w:rsidRPr="00CC0C91">
        <w:rPr>
          <w:rFonts w:asciiTheme="minorBidi" w:hAnsiTheme="minorBidi"/>
          <w:sz w:val="20"/>
          <w:szCs w:val="20"/>
          <w:lang w:val="en-AU"/>
        </w:rPr>
        <w:t xml:space="preserve">As predicted by </w:t>
      </w:r>
      <w:r w:rsidR="009A362B" w:rsidRPr="00CC0C91">
        <w:rPr>
          <w:rFonts w:asciiTheme="minorBidi" w:hAnsiTheme="minorBidi"/>
          <w:sz w:val="20"/>
          <w:szCs w:val="20"/>
          <w:lang w:val="en-AU"/>
        </w:rPr>
        <w:t>MBM</w:t>
      </w:r>
      <w:r w:rsidR="00201C2D" w:rsidRPr="00CC0C91">
        <w:rPr>
          <w:rFonts w:asciiTheme="minorBidi" w:hAnsiTheme="minorBidi"/>
          <w:sz w:val="20"/>
          <w:szCs w:val="20"/>
          <w:lang w:val="en-AU"/>
        </w:rPr>
        <w:t>, the piperacillin plus tobramycin dosage regimens were synergistic and provided ≥5 log</w:t>
      </w:r>
      <w:r w:rsidR="00201C2D" w:rsidRPr="00CC0C91">
        <w:rPr>
          <w:rFonts w:asciiTheme="minorBidi" w:hAnsiTheme="minorBidi"/>
          <w:sz w:val="20"/>
          <w:szCs w:val="20"/>
          <w:vertAlign w:val="subscript"/>
          <w:lang w:val="en-AU"/>
        </w:rPr>
        <w:t>10</w:t>
      </w:r>
      <w:r w:rsidR="00201C2D" w:rsidRPr="00CC0C91">
        <w:rPr>
          <w:rFonts w:asciiTheme="minorBidi" w:hAnsiTheme="minorBidi"/>
          <w:sz w:val="20"/>
          <w:szCs w:val="20"/>
          <w:lang w:val="en-AU"/>
        </w:rPr>
        <w:t xml:space="preserve"> killing with resistance suppression over 8 days in the HFIM.</w:t>
      </w:r>
      <w:r w:rsidR="00CC0C91" w:rsidRPr="00CC0C91">
        <w:rPr>
          <w:rFonts w:asciiTheme="minorBidi" w:hAnsiTheme="minorBidi"/>
          <w:sz w:val="20"/>
          <w:szCs w:val="20"/>
          <w:lang w:val="en-AU"/>
        </w:rPr>
        <w:t xml:space="preserve"> </w:t>
      </w:r>
    </w:p>
    <w:p w14:paraId="74A28231" w14:textId="160DF4A8" w:rsidR="00701924" w:rsidRPr="00CC0C91" w:rsidRDefault="00701924" w:rsidP="00CC0C91">
      <w:pPr>
        <w:spacing w:after="0" w:line="240" w:lineRule="auto"/>
        <w:jc w:val="both"/>
        <w:rPr>
          <w:rFonts w:asciiTheme="minorBidi" w:hAnsiTheme="minorBidi"/>
          <w:b/>
          <w:sz w:val="20"/>
          <w:szCs w:val="20"/>
          <w:lang w:val="en-AU"/>
        </w:rPr>
      </w:pPr>
      <w:r w:rsidRPr="00CC0C91">
        <w:rPr>
          <w:rFonts w:asciiTheme="minorBidi" w:hAnsiTheme="minorBidi"/>
          <w:b/>
          <w:sz w:val="20"/>
          <w:szCs w:val="20"/>
          <w:lang w:val="en-AU"/>
        </w:rPr>
        <w:t>Conclusion</w:t>
      </w:r>
      <w:r w:rsidR="009A362B" w:rsidRPr="00CC0C91">
        <w:rPr>
          <w:rFonts w:asciiTheme="minorBidi" w:hAnsiTheme="minorBidi"/>
          <w:sz w:val="20"/>
          <w:szCs w:val="20"/>
          <w:lang w:val="en-AU"/>
        </w:rPr>
        <w:t xml:space="preserve">: </w:t>
      </w:r>
      <w:r w:rsidR="007E3FF9" w:rsidRPr="00CC0C91">
        <w:rPr>
          <w:rFonts w:asciiTheme="minorBidi" w:hAnsiTheme="minorBidi"/>
          <w:sz w:val="20"/>
          <w:szCs w:val="20"/>
          <w:lang w:val="en-AU"/>
        </w:rPr>
        <w:t xml:space="preserve">Optimised </w:t>
      </w:r>
      <w:r w:rsidR="00201C2D" w:rsidRPr="00CC0C91">
        <w:rPr>
          <w:rFonts w:asciiTheme="minorBidi" w:hAnsiTheme="minorBidi"/>
          <w:sz w:val="20"/>
          <w:szCs w:val="20"/>
          <w:lang w:val="en-AU"/>
        </w:rPr>
        <w:t>piperacillin</w:t>
      </w:r>
      <w:r w:rsidR="007E3FF9" w:rsidRPr="00CC0C91">
        <w:rPr>
          <w:rFonts w:asciiTheme="minorBidi" w:hAnsiTheme="minorBidi"/>
          <w:sz w:val="20"/>
          <w:szCs w:val="20"/>
          <w:lang w:val="en-AU"/>
        </w:rPr>
        <w:t xml:space="preserve"> </w:t>
      </w:r>
      <w:r w:rsidR="00201C2D" w:rsidRPr="00CC0C91">
        <w:rPr>
          <w:rFonts w:asciiTheme="minorBidi" w:hAnsiTheme="minorBidi"/>
          <w:sz w:val="20"/>
          <w:szCs w:val="20"/>
          <w:lang w:val="en-AU"/>
        </w:rPr>
        <w:t>plus</w:t>
      </w:r>
      <w:r w:rsidR="007E3FF9" w:rsidRPr="00CC0C91">
        <w:rPr>
          <w:rFonts w:asciiTheme="minorBidi" w:hAnsiTheme="minorBidi"/>
          <w:sz w:val="20"/>
          <w:szCs w:val="20"/>
          <w:lang w:val="en-AU"/>
        </w:rPr>
        <w:t xml:space="preserve"> </w:t>
      </w:r>
      <w:r w:rsidR="00201C2D" w:rsidRPr="00CC0C91">
        <w:rPr>
          <w:rFonts w:asciiTheme="minorBidi" w:hAnsiTheme="minorBidi"/>
          <w:sz w:val="20"/>
          <w:szCs w:val="20"/>
          <w:lang w:val="en-AU"/>
        </w:rPr>
        <w:t>tobramycin</w:t>
      </w:r>
      <w:r w:rsidR="007E3FF9" w:rsidRPr="00CC0C91">
        <w:rPr>
          <w:rFonts w:asciiTheme="minorBidi" w:hAnsiTheme="minorBidi"/>
          <w:sz w:val="20"/>
          <w:szCs w:val="20"/>
          <w:lang w:val="en-AU"/>
        </w:rPr>
        <w:t xml:space="preserve"> regimens provided significant bacterial killing and suppressed resistance emergence as predicted by MBM, and therefore translated well from SCTK to the dynamic HFIM. This highlights the utility of MBM to select optimised regimens that maximise bacterial killing and minimise resistance emergence against Pa, an especially important finding given that Pa</w:t>
      </w:r>
      <w:r w:rsidR="009A362B" w:rsidRPr="00CC0C91">
        <w:rPr>
          <w:rFonts w:asciiTheme="minorBidi" w:hAnsiTheme="minorBidi"/>
          <w:sz w:val="20"/>
          <w:szCs w:val="20"/>
          <w:lang w:val="en-AU"/>
        </w:rPr>
        <w:t xml:space="preserve"> can rapidly develop MDR. </w:t>
      </w:r>
      <w:r w:rsidR="007E3FF9" w:rsidRPr="00CC0C91">
        <w:rPr>
          <w:rFonts w:asciiTheme="minorBidi" w:hAnsiTheme="minorBidi"/>
          <w:sz w:val="20"/>
          <w:szCs w:val="20"/>
          <w:lang w:val="en-AU"/>
        </w:rPr>
        <w:t>Thus, these regimens are highly promising for effective and early treatment, even in the near-worst case scenario of ARC.</w:t>
      </w:r>
    </w:p>
    <w:p w14:paraId="19698305" w14:textId="52623905" w:rsidR="00081DD6" w:rsidRPr="00CC0C91" w:rsidRDefault="00701924" w:rsidP="00E86C51">
      <w:pPr>
        <w:pStyle w:val="ListParagraph"/>
        <w:tabs>
          <w:tab w:val="left" w:pos="3790"/>
        </w:tabs>
        <w:spacing w:after="0" w:line="240" w:lineRule="auto"/>
        <w:ind w:left="284"/>
        <w:rPr>
          <w:rFonts w:cs="Times New Roman"/>
          <w:sz w:val="20"/>
          <w:szCs w:val="20"/>
          <w:lang w:val="en-AU"/>
        </w:rPr>
      </w:pPr>
      <w:r w:rsidRPr="00CC0C91">
        <w:rPr>
          <w:rFonts w:cs="Times New Roman"/>
          <w:sz w:val="20"/>
          <w:szCs w:val="20"/>
          <w:lang w:val="en-AU"/>
        </w:rPr>
        <w:tab/>
      </w:r>
    </w:p>
    <w:sectPr w:rsidR="00081DD6" w:rsidRPr="00CC0C91" w:rsidSect="00044881">
      <w:pgSz w:w="12240" w:h="15840"/>
      <w:pgMar w:top="1134" w:right="1276" w:bottom="212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65155"/>
    <w:multiLevelType w:val="hybridMultilevel"/>
    <w:tmpl w:val="D8864F98"/>
    <w:lvl w:ilvl="0" w:tplc="120212AA">
      <w:start w:val="1"/>
      <w:numFmt w:val="bullet"/>
      <w:lvlText w:val="–"/>
      <w:lvlJc w:val="left"/>
      <w:pPr>
        <w:tabs>
          <w:tab w:val="num" w:pos="720"/>
        </w:tabs>
        <w:ind w:left="720" w:hanging="360"/>
      </w:pPr>
      <w:rPr>
        <w:rFonts w:ascii="Times New Roman" w:hAnsi="Times New Roman" w:hint="default"/>
      </w:rPr>
    </w:lvl>
    <w:lvl w:ilvl="1" w:tplc="444CA894">
      <w:start w:val="1"/>
      <w:numFmt w:val="bullet"/>
      <w:lvlText w:val="–"/>
      <w:lvlJc w:val="left"/>
      <w:pPr>
        <w:tabs>
          <w:tab w:val="num" w:pos="1440"/>
        </w:tabs>
        <w:ind w:left="1440" w:hanging="360"/>
      </w:pPr>
      <w:rPr>
        <w:rFonts w:ascii="Times New Roman" w:hAnsi="Times New Roman" w:hint="default"/>
      </w:rPr>
    </w:lvl>
    <w:lvl w:ilvl="2" w:tplc="B010D120" w:tentative="1">
      <w:start w:val="1"/>
      <w:numFmt w:val="bullet"/>
      <w:lvlText w:val="–"/>
      <w:lvlJc w:val="left"/>
      <w:pPr>
        <w:tabs>
          <w:tab w:val="num" w:pos="2160"/>
        </w:tabs>
        <w:ind w:left="2160" w:hanging="360"/>
      </w:pPr>
      <w:rPr>
        <w:rFonts w:ascii="Times New Roman" w:hAnsi="Times New Roman" w:hint="default"/>
      </w:rPr>
    </w:lvl>
    <w:lvl w:ilvl="3" w:tplc="2F620758" w:tentative="1">
      <w:start w:val="1"/>
      <w:numFmt w:val="bullet"/>
      <w:lvlText w:val="–"/>
      <w:lvlJc w:val="left"/>
      <w:pPr>
        <w:tabs>
          <w:tab w:val="num" w:pos="2880"/>
        </w:tabs>
        <w:ind w:left="2880" w:hanging="360"/>
      </w:pPr>
      <w:rPr>
        <w:rFonts w:ascii="Times New Roman" w:hAnsi="Times New Roman" w:hint="default"/>
      </w:rPr>
    </w:lvl>
    <w:lvl w:ilvl="4" w:tplc="267CADF0" w:tentative="1">
      <w:start w:val="1"/>
      <w:numFmt w:val="bullet"/>
      <w:lvlText w:val="–"/>
      <w:lvlJc w:val="left"/>
      <w:pPr>
        <w:tabs>
          <w:tab w:val="num" w:pos="3600"/>
        </w:tabs>
        <w:ind w:left="3600" w:hanging="360"/>
      </w:pPr>
      <w:rPr>
        <w:rFonts w:ascii="Times New Roman" w:hAnsi="Times New Roman" w:hint="default"/>
      </w:rPr>
    </w:lvl>
    <w:lvl w:ilvl="5" w:tplc="542A5AB2" w:tentative="1">
      <w:start w:val="1"/>
      <w:numFmt w:val="bullet"/>
      <w:lvlText w:val="–"/>
      <w:lvlJc w:val="left"/>
      <w:pPr>
        <w:tabs>
          <w:tab w:val="num" w:pos="4320"/>
        </w:tabs>
        <w:ind w:left="4320" w:hanging="360"/>
      </w:pPr>
      <w:rPr>
        <w:rFonts w:ascii="Times New Roman" w:hAnsi="Times New Roman" w:hint="default"/>
      </w:rPr>
    </w:lvl>
    <w:lvl w:ilvl="6" w:tplc="F27E681A" w:tentative="1">
      <w:start w:val="1"/>
      <w:numFmt w:val="bullet"/>
      <w:lvlText w:val="–"/>
      <w:lvlJc w:val="left"/>
      <w:pPr>
        <w:tabs>
          <w:tab w:val="num" w:pos="5040"/>
        </w:tabs>
        <w:ind w:left="5040" w:hanging="360"/>
      </w:pPr>
      <w:rPr>
        <w:rFonts w:ascii="Times New Roman" w:hAnsi="Times New Roman" w:hint="default"/>
      </w:rPr>
    </w:lvl>
    <w:lvl w:ilvl="7" w:tplc="0D8ACEB6" w:tentative="1">
      <w:start w:val="1"/>
      <w:numFmt w:val="bullet"/>
      <w:lvlText w:val="–"/>
      <w:lvlJc w:val="left"/>
      <w:pPr>
        <w:tabs>
          <w:tab w:val="num" w:pos="5760"/>
        </w:tabs>
        <w:ind w:left="5760" w:hanging="360"/>
      </w:pPr>
      <w:rPr>
        <w:rFonts w:ascii="Times New Roman" w:hAnsi="Times New Roman" w:hint="default"/>
      </w:rPr>
    </w:lvl>
    <w:lvl w:ilvl="8" w:tplc="DA62604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ABE1CA5"/>
    <w:multiLevelType w:val="hybridMultilevel"/>
    <w:tmpl w:val="6B10D8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1NjMyMDOytDQxNjRX0lEKTi0uzszPAykwrgUAFGUN4i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0psrza9v9twlewa525ts9c2wxvprwfrpxx&quot;&gt;pharmacometric_tmax-Converted&lt;record-ids&gt;&lt;item&gt;6218&lt;/item&gt;&lt;/record-ids&gt;&lt;/item&gt;&lt;/Libraries&gt;"/>
  </w:docVars>
  <w:rsids>
    <w:rsidRoot w:val="008C3552"/>
    <w:rsid w:val="00014069"/>
    <w:rsid w:val="000210D2"/>
    <w:rsid w:val="00035B3F"/>
    <w:rsid w:val="00044881"/>
    <w:rsid w:val="00081DD6"/>
    <w:rsid w:val="000C0948"/>
    <w:rsid w:val="001107F3"/>
    <w:rsid w:val="001114B7"/>
    <w:rsid w:val="001124EB"/>
    <w:rsid w:val="00113285"/>
    <w:rsid w:val="00187C55"/>
    <w:rsid w:val="001B6A35"/>
    <w:rsid w:val="001D3B4A"/>
    <w:rsid w:val="001E4F9B"/>
    <w:rsid w:val="00201C2D"/>
    <w:rsid w:val="00256109"/>
    <w:rsid w:val="00257CAD"/>
    <w:rsid w:val="00257F36"/>
    <w:rsid w:val="002B2786"/>
    <w:rsid w:val="00311706"/>
    <w:rsid w:val="00312535"/>
    <w:rsid w:val="00345C7B"/>
    <w:rsid w:val="00356C2D"/>
    <w:rsid w:val="003741C0"/>
    <w:rsid w:val="00396472"/>
    <w:rsid w:val="003D165F"/>
    <w:rsid w:val="00420000"/>
    <w:rsid w:val="004501C4"/>
    <w:rsid w:val="004C3F53"/>
    <w:rsid w:val="00530B72"/>
    <w:rsid w:val="005613CC"/>
    <w:rsid w:val="005B7FAD"/>
    <w:rsid w:val="005F7B1F"/>
    <w:rsid w:val="006304E2"/>
    <w:rsid w:val="00630AF4"/>
    <w:rsid w:val="00674678"/>
    <w:rsid w:val="006A10F9"/>
    <w:rsid w:val="006A4BC7"/>
    <w:rsid w:val="006E468E"/>
    <w:rsid w:val="00701924"/>
    <w:rsid w:val="00724451"/>
    <w:rsid w:val="00724F15"/>
    <w:rsid w:val="00781934"/>
    <w:rsid w:val="00784CAA"/>
    <w:rsid w:val="00784FD6"/>
    <w:rsid w:val="00786AA9"/>
    <w:rsid w:val="007B6462"/>
    <w:rsid w:val="007D024D"/>
    <w:rsid w:val="007E3FF9"/>
    <w:rsid w:val="007E7B11"/>
    <w:rsid w:val="007F4539"/>
    <w:rsid w:val="00834443"/>
    <w:rsid w:val="00851E0F"/>
    <w:rsid w:val="00856A16"/>
    <w:rsid w:val="00870948"/>
    <w:rsid w:val="00873CE3"/>
    <w:rsid w:val="00880C27"/>
    <w:rsid w:val="008C3552"/>
    <w:rsid w:val="008C45E2"/>
    <w:rsid w:val="00940727"/>
    <w:rsid w:val="0096314F"/>
    <w:rsid w:val="0096769C"/>
    <w:rsid w:val="00994FCA"/>
    <w:rsid w:val="009A362B"/>
    <w:rsid w:val="009D34F6"/>
    <w:rsid w:val="009D7B85"/>
    <w:rsid w:val="009E1919"/>
    <w:rsid w:val="009E4D71"/>
    <w:rsid w:val="00A5491F"/>
    <w:rsid w:val="00A8388F"/>
    <w:rsid w:val="00A9373B"/>
    <w:rsid w:val="00AA1B52"/>
    <w:rsid w:val="00B31E11"/>
    <w:rsid w:val="00B56D9C"/>
    <w:rsid w:val="00B70CC6"/>
    <w:rsid w:val="00BA0D3F"/>
    <w:rsid w:val="00BB362A"/>
    <w:rsid w:val="00BF249B"/>
    <w:rsid w:val="00C31F46"/>
    <w:rsid w:val="00C45214"/>
    <w:rsid w:val="00C5464B"/>
    <w:rsid w:val="00C60E8D"/>
    <w:rsid w:val="00C726FC"/>
    <w:rsid w:val="00CC0C91"/>
    <w:rsid w:val="00CC22A3"/>
    <w:rsid w:val="00CE194C"/>
    <w:rsid w:val="00D03B8B"/>
    <w:rsid w:val="00D474C1"/>
    <w:rsid w:val="00D81B68"/>
    <w:rsid w:val="00DB0B89"/>
    <w:rsid w:val="00DC3687"/>
    <w:rsid w:val="00DE2737"/>
    <w:rsid w:val="00E27B0F"/>
    <w:rsid w:val="00E36340"/>
    <w:rsid w:val="00E550DF"/>
    <w:rsid w:val="00E86C51"/>
    <w:rsid w:val="00EB6B8A"/>
    <w:rsid w:val="00EC6A72"/>
    <w:rsid w:val="00F00E5B"/>
    <w:rsid w:val="00F1319D"/>
    <w:rsid w:val="00F13C40"/>
    <w:rsid w:val="00F27A79"/>
    <w:rsid w:val="00F307A5"/>
    <w:rsid w:val="00F33449"/>
    <w:rsid w:val="00F349F7"/>
    <w:rsid w:val="00F52D27"/>
    <w:rsid w:val="00F53C7F"/>
    <w:rsid w:val="00F830EC"/>
    <w:rsid w:val="00FB5D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335B"/>
  <w15:docId w15:val="{94BF7895-3CFC-4ABC-B881-6357F33D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DD6"/>
    <w:rPr>
      <w:rFonts w:ascii="Tahoma" w:hAnsi="Tahoma" w:cs="Tahoma"/>
      <w:sz w:val="16"/>
      <w:szCs w:val="16"/>
    </w:rPr>
  </w:style>
  <w:style w:type="character" w:styleId="CommentReference">
    <w:name w:val="annotation reference"/>
    <w:basedOn w:val="DefaultParagraphFont"/>
    <w:uiPriority w:val="99"/>
    <w:semiHidden/>
    <w:unhideWhenUsed/>
    <w:rsid w:val="00630AF4"/>
    <w:rPr>
      <w:sz w:val="16"/>
      <w:szCs w:val="16"/>
    </w:rPr>
  </w:style>
  <w:style w:type="paragraph" w:styleId="CommentText">
    <w:name w:val="annotation text"/>
    <w:basedOn w:val="Normal"/>
    <w:link w:val="CommentTextChar"/>
    <w:uiPriority w:val="99"/>
    <w:semiHidden/>
    <w:unhideWhenUsed/>
    <w:rsid w:val="00630AF4"/>
    <w:pPr>
      <w:spacing w:line="240" w:lineRule="auto"/>
    </w:pPr>
    <w:rPr>
      <w:sz w:val="20"/>
      <w:szCs w:val="20"/>
    </w:rPr>
  </w:style>
  <w:style w:type="character" w:customStyle="1" w:styleId="CommentTextChar">
    <w:name w:val="Comment Text Char"/>
    <w:basedOn w:val="DefaultParagraphFont"/>
    <w:link w:val="CommentText"/>
    <w:uiPriority w:val="99"/>
    <w:semiHidden/>
    <w:rsid w:val="00630AF4"/>
    <w:rPr>
      <w:sz w:val="20"/>
      <w:szCs w:val="20"/>
    </w:rPr>
  </w:style>
  <w:style w:type="paragraph" w:styleId="CommentSubject">
    <w:name w:val="annotation subject"/>
    <w:basedOn w:val="CommentText"/>
    <w:next w:val="CommentText"/>
    <w:link w:val="CommentSubjectChar"/>
    <w:uiPriority w:val="99"/>
    <w:semiHidden/>
    <w:unhideWhenUsed/>
    <w:rsid w:val="00630AF4"/>
    <w:rPr>
      <w:b/>
      <w:bCs/>
    </w:rPr>
  </w:style>
  <w:style w:type="character" w:customStyle="1" w:styleId="CommentSubjectChar">
    <w:name w:val="Comment Subject Char"/>
    <w:basedOn w:val="CommentTextChar"/>
    <w:link w:val="CommentSubject"/>
    <w:uiPriority w:val="99"/>
    <w:semiHidden/>
    <w:rsid w:val="00630AF4"/>
    <w:rPr>
      <w:b/>
      <w:bCs/>
      <w:sz w:val="20"/>
      <w:szCs w:val="20"/>
    </w:rPr>
  </w:style>
  <w:style w:type="paragraph" w:customStyle="1" w:styleId="EndNoteBibliographyTitle">
    <w:name w:val="EndNote Bibliography Title"/>
    <w:basedOn w:val="Normal"/>
    <w:link w:val="EndNoteBibliographyTitleChar"/>
    <w:rsid w:val="00A8388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8388F"/>
    <w:rPr>
      <w:rFonts w:ascii="Calibri" w:hAnsi="Calibri"/>
      <w:noProof/>
    </w:rPr>
  </w:style>
  <w:style w:type="paragraph" w:customStyle="1" w:styleId="EndNoteBibliography">
    <w:name w:val="EndNote Bibliography"/>
    <w:basedOn w:val="Normal"/>
    <w:link w:val="EndNoteBibliographyChar"/>
    <w:rsid w:val="00A8388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8388F"/>
    <w:rPr>
      <w:rFonts w:ascii="Calibri" w:hAnsi="Calibri"/>
      <w:noProof/>
    </w:rPr>
  </w:style>
  <w:style w:type="paragraph" w:styleId="Caption">
    <w:name w:val="caption"/>
    <w:basedOn w:val="Normal"/>
    <w:next w:val="Normal"/>
    <w:uiPriority w:val="35"/>
    <w:unhideWhenUsed/>
    <w:qFormat/>
    <w:rsid w:val="00A8388F"/>
    <w:pPr>
      <w:spacing w:line="240" w:lineRule="auto"/>
    </w:pPr>
    <w:rPr>
      <w:i/>
      <w:iCs/>
      <w:color w:val="1F497D" w:themeColor="text2"/>
      <w:sz w:val="18"/>
      <w:szCs w:val="18"/>
    </w:rPr>
  </w:style>
  <w:style w:type="paragraph" w:styleId="ListParagraph">
    <w:name w:val="List Paragraph"/>
    <w:basedOn w:val="Normal"/>
    <w:uiPriority w:val="34"/>
    <w:qFormat/>
    <w:rsid w:val="005613CC"/>
    <w:pPr>
      <w:ind w:left="720"/>
      <w:contextualSpacing/>
    </w:pPr>
  </w:style>
  <w:style w:type="paragraph" w:styleId="NoSpacing">
    <w:name w:val="No Spacing"/>
    <w:uiPriority w:val="1"/>
    <w:qFormat/>
    <w:rsid w:val="00CC22A3"/>
    <w:pPr>
      <w:spacing w:after="0" w:line="240" w:lineRule="auto"/>
    </w:pPr>
  </w:style>
  <w:style w:type="paragraph" w:styleId="NormalWeb">
    <w:name w:val="Normal (Web)"/>
    <w:basedOn w:val="Normal"/>
    <w:uiPriority w:val="99"/>
    <w:semiHidden/>
    <w:unhideWhenUsed/>
    <w:rsid w:val="001D3B4A"/>
    <w:pPr>
      <w:spacing w:before="100" w:beforeAutospacing="1" w:after="100" w:afterAutospacing="1" w:line="240" w:lineRule="auto"/>
    </w:pPr>
    <w:rPr>
      <w:rFonts w:ascii="Times New Roman" w:eastAsia="Times New Roman" w:hAnsi="Times New Roman" w:cs="Times New Roman"/>
      <w:sz w:val="24"/>
      <w:szCs w:val="24"/>
      <w:lang w:val="en-AU" w:eastAsia="zh-CN"/>
    </w:rPr>
  </w:style>
  <w:style w:type="paragraph" w:styleId="Revision">
    <w:name w:val="Revision"/>
    <w:hidden/>
    <w:uiPriority w:val="99"/>
    <w:semiHidden/>
    <w:rsid w:val="00BB36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15989">
      <w:bodyDiv w:val="1"/>
      <w:marLeft w:val="0"/>
      <w:marRight w:val="0"/>
      <w:marTop w:val="0"/>
      <w:marBottom w:val="0"/>
      <w:divBdr>
        <w:top w:val="none" w:sz="0" w:space="0" w:color="auto"/>
        <w:left w:val="none" w:sz="0" w:space="0" w:color="auto"/>
        <w:bottom w:val="none" w:sz="0" w:space="0" w:color="auto"/>
        <w:right w:val="none" w:sz="0" w:space="0" w:color="auto"/>
      </w:divBdr>
      <w:divsChild>
        <w:div w:id="1964774216">
          <w:marLeft w:val="446"/>
          <w:marRight w:val="0"/>
          <w:marTop w:val="0"/>
          <w:marBottom w:val="148"/>
          <w:divBdr>
            <w:top w:val="none" w:sz="0" w:space="0" w:color="auto"/>
            <w:left w:val="none" w:sz="0" w:space="0" w:color="auto"/>
            <w:bottom w:val="none" w:sz="0" w:space="0" w:color="auto"/>
            <w:right w:val="none" w:sz="0" w:space="0" w:color="auto"/>
          </w:divBdr>
        </w:div>
      </w:divsChild>
    </w:div>
    <w:div w:id="844516722">
      <w:bodyDiv w:val="1"/>
      <w:marLeft w:val="0"/>
      <w:marRight w:val="0"/>
      <w:marTop w:val="0"/>
      <w:marBottom w:val="0"/>
      <w:divBdr>
        <w:top w:val="none" w:sz="0" w:space="0" w:color="auto"/>
        <w:left w:val="none" w:sz="0" w:space="0" w:color="auto"/>
        <w:bottom w:val="none" w:sz="0" w:space="0" w:color="auto"/>
        <w:right w:val="none" w:sz="0" w:space="0" w:color="auto"/>
      </w:divBdr>
    </w:div>
    <w:div w:id="1631132550">
      <w:bodyDiv w:val="1"/>
      <w:marLeft w:val="0"/>
      <w:marRight w:val="0"/>
      <w:marTop w:val="0"/>
      <w:marBottom w:val="0"/>
      <w:divBdr>
        <w:top w:val="none" w:sz="0" w:space="0" w:color="auto"/>
        <w:left w:val="none" w:sz="0" w:space="0" w:color="auto"/>
        <w:bottom w:val="none" w:sz="0" w:space="0" w:color="auto"/>
        <w:right w:val="none" w:sz="0" w:space="0" w:color="auto"/>
      </w:divBdr>
      <w:divsChild>
        <w:div w:id="918293912">
          <w:marLeft w:val="1541"/>
          <w:marRight w:val="0"/>
          <w:marTop w:val="0"/>
          <w:marBottom w:val="120"/>
          <w:divBdr>
            <w:top w:val="none" w:sz="0" w:space="0" w:color="auto"/>
            <w:left w:val="none" w:sz="0" w:space="0" w:color="auto"/>
            <w:bottom w:val="none" w:sz="0" w:space="0" w:color="auto"/>
            <w:right w:val="none" w:sz="0" w:space="0" w:color="auto"/>
          </w:divBdr>
        </w:div>
        <w:div w:id="1368068763">
          <w:marLeft w:val="1541"/>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3E9BB-27B3-49DC-B2DD-E8701F48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corrigb</dc:creator>
  <cp:lastModifiedBy>Rajbharan Yadav</cp:lastModifiedBy>
  <cp:revision>5</cp:revision>
  <dcterms:created xsi:type="dcterms:W3CDTF">2018-01-16T01:27:00Z</dcterms:created>
  <dcterms:modified xsi:type="dcterms:W3CDTF">2018-01-16T02:39:00Z</dcterms:modified>
</cp:coreProperties>
</file>