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56A6" w14:textId="682A0025" w:rsidR="00CC22A3" w:rsidRPr="00C5464B" w:rsidRDefault="00CC22A3" w:rsidP="00BA0D3F">
      <w:pPr>
        <w:spacing w:line="240" w:lineRule="auto"/>
        <w:jc w:val="both"/>
        <w:rPr>
          <w:rFonts w:cs="Times New Roman"/>
          <w:b/>
          <w:sz w:val="20"/>
          <w:szCs w:val="20"/>
        </w:rPr>
      </w:pPr>
      <w:r w:rsidRPr="00CC22A3">
        <w:rPr>
          <w:rFonts w:cs="Times New Roman"/>
          <w:b/>
          <w:sz w:val="20"/>
          <w:szCs w:val="20"/>
        </w:rPr>
        <w:t xml:space="preserve">Mechanism-based </w:t>
      </w:r>
      <w:r w:rsidR="00BF249B">
        <w:rPr>
          <w:rFonts w:cs="Times New Roman"/>
          <w:b/>
          <w:sz w:val="20"/>
          <w:szCs w:val="20"/>
        </w:rPr>
        <w:t>PK/PD modelling</w:t>
      </w:r>
      <w:r w:rsidRPr="00CC22A3">
        <w:rPr>
          <w:rFonts w:cs="Times New Roman"/>
          <w:b/>
          <w:sz w:val="20"/>
          <w:szCs w:val="20"/>
        </w:rPr>
        <w:t xml:space="preserve"> approach to optimise combination</w:t>
      </w:r>
      <w:r w:rsidR="00F349F7">
        <w:rPr>
          <w:rFonts w:cs="Times New Roman"/>
          <w:b/>
          <w:sz w:val="20"/>
          <w:szCs w:val="20"/>
        </w:rPr>
        <w:t xml:space="preserve"> dosage</w:t>
      </w:r>
      <w:r w:rsidR="006A4BC7">
        <w:rPr>
          <w:rFonts w:cs="Times New Roman"/>
          <w:b/>
          <w:sz w:val="20"/>
          <w:szCs w:val="20"/>
        </w:rPr>
        <w:t xml:space="preserve"> </w:t>
      </w:r>
      <w:r w:rsidR="0096769C">
        <w:rPr>
          <w:rFonts w:cs="Times New Roman"/>
          <w:b/>
          <w:sz w:val="20"/>
          <w:szCs w:val="20"/>
        </w:rPr>
        <w:t>regimens</w:t>
      </w:r>
      <w:r w:rsidRPr="00CC22A3">
        <w:rPr>
          <w:rFonts w:cs="Times New Roman"/>
          <w:b/>
          <w:sz w:val="20"/>
          <w:szCs w:val="20"/>
        </w:rPr>
        <w:t xml:space="preserve"> against </w:t>
      </w:r>
      <w:r w:rsidR="009D7B85">
        <w:rPr>
          <w:rFonts w:cs="Times New Roman"/>
          <w:b/>
          <w:sz w:val="20"/>
          <w:szCs w:val="20"/>
        </w:rPr>
        <w:t>multidrug-</w:t>
      </w:r>
      <w:r w:rsidRPr="00CC22A3">
        <w:rPr>
          <w:rFonts w:cs="Times New Roman"/>
          <w:b/>
          <w:sz w:val="20"/>
          <w:szCs w:val="20"/>
        </w:rPr>
        <w:t xml:space="preserve">resistant clinical isolates of </w:t>
      </w:r>
      <w:r w:rsidRPr="00CC22A3">
        <w:rPr>
          <w:rFonts w:cs="Times New Roman"/>
          <w:b/>
          <w:i/>
          <w:iCs/>
          <w:sz w:val="20"/>
          <w:szCs w:val="20"/>
        </w:rPr>
        <w:t>Pseudomonas aeruginosa</w:t>
      </w:r>
      <w:r w:rsidRPr="00CC22A3">
        <w:rPr>
          <w:rFonts w:cs="Times New Roman"/>
          <w:b/>
          <w:sz w:val="20"/>
          <w:szCs w:val="20"/>
        </w:rPr>
        <w:t xml:space="preserve"> </w:t>
      </w:r>
      <w:r w:rsidR="009D7B85">
        <w:rPr>
          <w:rFonts w:cs="Times New Roman"/>
          <w:b/>
          <w:sz w:val="20"/>
          <w:szCs w:val="20"/>
        </w:rPr>
        <w:t xml:space="preserve">and </w:t>
      </w:r>
      <w:r w:rsidR="006A4BC7">
        <w:rPr>
          <w:rFonts w:cs="Times New Roman"/>
          <w:b/>
          <w:i/>
          <w:iCs/>
          <w:sz w:val="20"/>
          <w:szCs w:val="20"/>
        </w:rPr>
        <w:t>i</w:t>
      </w:r>
      <w:r w:rsidR="006A4BC7" w:rsidRPr="009D34F6">
        <w:rPr>
          <w:rFonts w:cs="Times New Roman"/>
          <w:b/>
          <w:i/>
          <w:iCs/>
          <w:sz w:val="20"/>
          <w:szCs w:val="20"/>
        </w:rPr>
        <w:t>n</w:t>
      </w:r>
      <w:r w:rsidR="009D7B85" w:rsidRPr="009D34F6">
        <w:rPr>
          <w:rFonts w:cs="Times New Roman"/>
          <w:b/>
          <w:i/>
          <w:iCs/>
          <w:sz w:val="20"/>
          <w:szCs w:val="20"/>
        </w:rPr>
        <w:t>-vivo</w:t>
      </w:r>
      <w:r w:rsidR="009D7B85" w:rsidRPr="009D7B85">
        <w:rPr>
          <w:rFonts w:cs="Times New Roman"/>
          <w:b/>
          <w:sz w:val="20"/>
          <w:szCs w:val="20"/>
        </w:rPr>
        <w:t xml:space="preserve"> </w:t>
      </w:r>
      <w:r w:rsidR="006A4BC7">
        <w:rPr>
          <w:rFonts w:cs="Times New Roman"/>
          <w:b/>
          <w:sz w:val="20"/>
          <w:szCs w:val="20"/>
        </w:rPr>
        <w:t>e</w:t>
      </w:r>
      <w:r w:rsidR="006A4BC7" w:rsidRPr="009D7B85">
        <w:rPr>
          <w:rFonts w:cs="Times New Roman"/>
          <w:b/>
          <w:sz w:val="20"/>
          <w:szCs w:val="20"/>
        </w:rPr>
        <w:t xml:space="preserve">valuation </w:t>
      </w:r>
      <w:r w:rsidR="009D7B85" w:rsidRPr="009D7B85">
        <w:rPr>
          <w:rFonts w:cs="Times New Roman"/>
          <w:b/>
          <w:sz w:val="20"/>
          <w:szCs w:val="20"/>
        </w:rPr>
        <w:t xml:space="preserve">in a </w:t>
      </w:r>
      <w:r w:rsidR="006A4BC7">
        <w:rPr>
          <w:rFonts w:cs="Times New Roman"/>
          <w:b/>
          <w:sz w:val="20"/>
          <w:szCs w:val="20"/>
        </w:rPr>
        <w:t>m</w:t>
      </w:r>
      <w:r w:rsidR="006A4BC7" w:rsidRPr="009D7B85">
        <w:rPr>
          <w:rFonts w:cs="Times New Roman"/>
          <w:b/>
          <w:sz w:val="20"/>
          <w:szCs w:val="20"/>
        </w:rPr>
        <w:t xml:space="preserve">urine </w:t>
      </w:r>
      <w:r w:rsidR="006A4BC7">
        <w:rPr>
          <w:rFonts w:cs="Times New Roman"/>
          <w:b/>
          <w:sz w:val="20"/>
          <w:szCs w:val="20"/>
        </w:rPr>
        <w:t>t</w:t>
      </w:r>
      <w:r w:rsidR="006A4BC7" w:rsidRPr="009D7B85">
        <w:rPr>
          <w:rFonts w:cs="Times New Roman"/>
          <w:b/>
          <w:sz w:val="20"/>
          <w:szCs w:val="20"/>
        </w:rPr>
        <w:t xml:space="preserve">high </w:t>
      </w:r>
      <w:r w:rsidR="006A4BC7">
        <w:rPr>
          <w:rFonts w:cs="Times New Roman"/>
          <w:b/>
          <w:sz w:val="20"/>
          <w:szCs w:val="20"/>
        </w:rPr>
        <w:t>i</w:t>
      </w:r>
      <w:r w:rsidR="006A4BC7" w:rsidRPr="009D7B85">
        <w:rPr>
          <w:rFonts w:cs="Times New Roman"/>
          <w:b/>
          <w:sz w:val="20"/>
          <w:szCs w:val="20"/>
        </w:rPr>
        <w:t xml:space="preserve">nfection </w:t>
      </w:r>
      <w:r w:rsidR="006A4BC7">
        <w:rPr>
          <w:rFonts w:cs="Times New Roman"/>
          <w:b/>
          <w:sz w:val="20"/>
          <w:szCs w:val="20"/>
        </w:rPr>
        <w:t>m</w:t>
      </w:r>
      <w:r w:rsidR="006A4BC7" w:rsidRPr="009D7B85">
        <w:rPr>
          <w:rFonts w:cs="Times New Roman"/>
          <w:b/>
          <w:sz w:val="20"/>
          <w:szCs w:val="20"/>
        </w:rPr>
        <w:t>odel</w:t>
      </w:r>
    </w:p>
    <w:p w14:paraId="213A9D4B" w14:textId="5DDEF576" w:rsidR="00784FD6" w:rsidRPr="00784FD6" w:rsidRDefault="00784FD6" w:rsidP="009D34F6">
      <w:pPr>
        <w:pStyle w:val="NoSpacing"/>
        <w:rPr>
          <w:rFonts w:cs="Times New Roman"/>
          <w:bCs/>
          <w:sz w:val="20"/>
          <w:szCs w:val="20"/>
        </w:rPr>
      </w:pPr>
      <w:r w:rsidRPr="00784FD6">
        <w:rPr>
          <w:rFonts w:cs="Times New Roman"/>
          <w:bCs/>
          <w:sz w:val="20"/>
          <w:szCs w:val="20"/>
        </w:rPr>
        <w:t>Rajbharan Yadav</w:t>
      </w:r>
      <w:r w:rsidRPr="00784FD6">
        <w:rPr>
          <w:rFonts w:cs="Times New Roman"/>
          <w:bCs/>
          <w:sz w:val="20"/>
          <w:szCs w:val="20"/>
          <w:vertAlign w:val="superscript"/>
        </w:rPr>
        <w:t>1</w:t>
      </w:r>
      <w:r w:rsidR="00A9373B">
        <w:rPr>
          <w:rFonts w:cs="Times New Roman"/>
          <w:bCs/>
          <w:sz w:val="20"/>
          <w:szCs w:val="20"/>
          <w:vertAlign w:val="superscript"/>
        </w:rPr>
        <w:t xml:space="preserve">, </w:t>
      </w:r>
      <w:r w:rsidR="009D34F6">
        <w:rPr>
          <w:rFonts w:cs="Times New Roman"/>
          <w:bCs/>
          <w:sz w:val="20"/>
          <w:szCs w:val="20"/>
          <w:vertAlign w:val="superscript"/>
        </w:rPr>
        <w:t>2</w:t>
      </w:r>
      <w:r w:rsidRPr="00784FD6">
        <w:rPr>
          <w:rFonts w:cs="Times New Roman"/>
          <w:bCs/>
          <w:sz w:val="20"/>
          <w:szCs w:val="20"/>
        </w:rPr>
        <w:t>, Jürgen B Bulitta</w:t>
      </w:r>
      <w:r w:rsidR="009D34F6">
        <w:rPr>
          <w:rFonts w:cs="Times New Roman"/>
          <w:bCs/>
          <w:sz w:val="20"/>
          <w:szCs w:val="20"/>
          <w:vertAlign w:val="superscript"/>
        </w:rPr>
        <w:t>3</w:t>
      </w:r>
      <w:r w:rsidRPr="00784FD6">
        <w:rPr>
          <w:rFonts w:cs="Times New Roman"/>
          <w:bCs/>
          <w:sz w:val="20"/>
          <w:szCs w:val="20"/>
        </w:rPr>
        <w:t xml:space="preserve">, </w:t>
      </w:r>
      <w:r w:rsidR="00312535">
        <w:rPr>
          <w:rFonts w:cs="Times New Roman"/>
          <w:bCs/>
          <w:sz w:val="20"/>
          <w:szCs w:val="20"/>
        </w:rPr>
        <w:t>Jiping Wang</w:t>
      </w:r>
      <w:r w:rsidR="009D34F6">
        <w:rPr>
          <w:rFonts w:cs="Times New Roman"/>
          <w:bCs/>
          <w:sz w:val="20"/>
          <w:szCs w:val="20"/>
          <w:vertAlign w:val="superscript"/>
        </w:rPr>
        <w:t>1</w:t>
      </w:r>
      <w:r w:rsidR="00312535">
        <w:rPr>
          <w:rFonts w:cs="Times New Roman"/>
          <w:bCs/>
          <w:sz w:val="20"/>
          <w:szCs w:val="20"/>
        </w:rPr>
        <w:t xml:space="preserve">, </w:t>
      </w:r>
      <w:r w:rsidRPr="00784FD6">
        <w:rPr>
          <w:rFonts w:cs="Times New Roman"/>
          <w:bCs/>
          <w:sz w:val="20"/>
          <w:szCs w:val="20"/>
        </w:rPr>
        <w:t>Roger L Nation</w:t>
      </w:r>
      <w:r w:rsidR="009D34F6">
        <w:rPr>
          <w:rFonts w:cs="Times New Roman"/>
          <w:bCs/>
          <w:sz w:val="20"/>
          <w:szCs w:val="20"/>
          <w:vertAlign w:val="superscript"/>
        </w:rPr>
        <w:t>1</w:t>
      </w:r>
      <w:r w:rsidRPr="00784FD6">
        <w:rPr>
          <w:rFonts w:cs="Times New Roman"/>
          <w:bCs/>
          <w:sz w:val="20"/>
          <w:szCs w:val="20"/>
        </w:rPr>
        <w:t>, Cornelia B Landersdorfer</w:t>
      </w:r>
      <w:r w:rsidRPr="00784FD6">
        <w:rPr>
          <w:rFonts w:cs="Times New Roman"/>
          <w:bCs/>
          <w:sz w:val="20"/>
          <w:szCs w:val="20"/>
          <w:vertAlign w:val="superscript"/>
        </w:rPr>
        <w:t>1</w:t>
      </w:r>
      <w:r w:rsidR="00A9373B">
        <w:rPr>
          <w:rFonts w:cs="Times New Roman"/>
          <w:bCs/>
          <w:sz w:val="20"/>
          <w:szCs w:val="20"/>
          <w:vertAlign w:val="superscript"/>
        </w:rPr>
        <w:t xml:space="preserve">, </w:t>
      </w:r>
      <w:r w:rsidR="009D34F6">
        <w:rPr>
          <w:rFonts w:cs="Times New Roman"/>
          <w:bCs/>
          <w:sz w:val="20"/>
          <w:szCs w:val="20"/>
          <w:vertAlign w:val="superscript"/>
        </w:rPr>
        <w:t>2</w:t>
      </w:r>
    </w:p>
    <w:p w14:paraId="483B5651" w14:textId="77777777" w:rsidR="009D34F6" w:rsidRPr="009D34F6" w:rsidRDefault="009D34F6" w:rsidP="009D34F6">
      <w:pPr>
        <w:spacing w:after="0" w:line="240" w:lineRule="auto"/>
        <w:rPr>
          <w:rFonts w:cs="Times New Roman"/>
          <w:sz w:val="20"/>
          <w:szCs w:val="20"/>
        </w:rPr>
      </w:pPr>
      <w:r w:rsidRPr="009D34F6">
        <w:rPr>
          <w:rFonts w:cs="Times New Roman"/>
          <w:sz w:val="20"/>
          <w:szCs w:val="20"/>
          <w:vertAlign w:val="superscript"/>
        </w:rPr>
        <w:t>1</w:t>
      </w:r>
      <w:r w:rsidRPr="009D34F6">
        <w:rPr>
          <w:rFonts w:cs="Times New Roman"/>
          <w:sz w:val="20"/>
          <w:szCs w:val="20"/>
        </w:rPr>
        <w:t>Drug Delivery, Disposition and Dynamics, Monash Institute of Pharmaceutical Sciences, Monash University, Parkville, Victoria, Australia</w:t>
      </w:r>
    </w:p>
    <w:p w14:paraId="276B38B8" w14:textId="77777777" w:rsidR="009D34F6" w:rsidRPr="009D34F6" w:rsidRDefault="009D34F6" w:rsidP="009D34F6">
      <w:pPr>
        <w:spacing w:after="0" w:line="240" w:lineRule="auto"/>
        <w:rPr>
          <w:rFonts w:cs="Times New Roman"/>
          <w:sz w:val="20"/>
          <w:szCs w:val="20"/>
        </w:rPr>
      </w:pPr>
      <w:r w:rsidRPr="009D34F6">
        <w:rPr>
          <w:rFonts w:cs="Times New Roman"/>
          <w:sz w:val="20"/>
          <w:szCs w:val="20"/>
          <w:vertAlign w:val="superscript"/>
        </w:rPr>
        <w:t>2</w:t>
      </w:r>
      <w:r w:rsidRPr="009D34F6">
        <w:rPr>
          <w:rFonts w:cs="Times New Roman"/>
          <w:sz w:val="20"/>
          <w:szCs w:val="20"/>
        </w:rPr>
        <w:t xml:space="preserve">Centre for Medicine Use and Safety, Faculty of Pharmacy and Pharmaceutical Sciences, Monash University, Parkville, Victoria, Australia </w:t>
      </w:r>
    </w:p>
    <w:p w14:paraId="4D7BA654" w14:textId="77777777" w:rsidR="009D34F6" w:rsidRDefault="009D34F6" w:rsidP="009D34F6">
      <w:pPr>
        <w:spacing w:after="0" w:line="240" w:lineRule="auto"/>
        <w:jc w:val="both"/>
        <w:rPr>
          <w:rFonts w:cs="Times New Roman"/>
          <w:sz w:val="20"/>
          <w:szCs w:val="20"/>
        </w:rPr>
      </w:pPr>
      <w:r w:rsidRPr="009D34F6">
        <w:rPr>
          <w:rFonts w:cs="Times New Roman"/>
          <w:sz w:val="20"/>
          <w:szCs w:val="20"/>
          <w:vertAlign w:val="superscript"/>
        </w:rPr>
        <w:t>3</w:t>
      </w:r>
      <w:r w:rsidRPr="009D34F6">
        <w:rPr>
          <w:rFonts w:cs="Times New Roman"/>
          <w:sz w:val="20"/>
          <w:szCs w:val="20"/>
        </w:rPr>
        <w:t>Center for Pharmacometrics and Systems Pharmacology, College of Pharmacy, University of Florida, Orlando, FL, USA</w:t>
      </w:r>
    </w:p>
    <w:p w14:paraId="47B4E335" w14:textId="1EFFF04B" w:rsidR="00C31F46" w:rsidRPr="00994FCA" w:rsidRDefault="00701924" w:rsidP="00880C27">
      <w:pPr>
        <w:spacing w:after="0" w:line="240" w:lineRule="auto"/>
        <w:jc w:val="both"/>
        <w:rPr>
          <w:rFonts w:cs="Arial"/>
          <w:sz w:val="20"/>
          <w:szCs w:val="20"/>
          <w:shd w:val="clear" w:color="auto" w:fill="FFFFFF"/>
          <w:lang w:val="en-AU"/>
        </w:rPr>
      </w:pPr>
      <w:r w:rsidRPr="00CC22A3">
        <w:rPr>
          <w:rFonts w:cs="Times New Roman"/>
          <w:b/>
          <w:noProof/>
          <w:sz w:val="20"/>
          <w:szCs w:val="20"/>
          <w:lang w:val="en-AU"/>
        </w:rPr>
        <w:t>Aims</w:t>
      </w:r>
      <w:r w:rsidR="00081DD6" w:rsidRPr="00CC22A3">
        <w:rPr>
          <w:rFonts w:cs="Times New Roman"/>
          <w:noProof/>
          <w:sz w:val="20"/>
          <w:szCs w:val="20"/>
          <w:lang w:val="en-AU"/>
        </w:rPr>
        <w:t>:</w:t>
      </w:r>
      <w:r w:rsidR="009D7B85">
        <w:rPr>
          <w:rFonts w:cs="Times New Roman"/>
          <w:noProof/>
          <w:sz w:val="20"/>
          <w:szCs w:val="20"/>
          <w:lang w:val="en-AU"/>
        </w:rPr>
        <w:t xml:space="preserve"> </w:t>
      </w:r>
      <w:r w:rsidR="009D7B85" w:rsidRPr="009D7B85">
        <w:rPr>
          <w:rFonts w:cs="Times New Roman"/>
          <w:i/>
          <w:iCs/>
          <w:noProof/>
          <w:sz w:val="20"/>
          <w:szCs w:val="20"/>
          <w:lang w:val="en-AU"/>
        </w:rPr>
        <w:t xml:space="preserve">Pseudomonas aeruginosa </w:t>
      </w:r>
      <w:r w:rsidR="009D7B85" w:rsidRPr="009D7B85">
        <w:rPr>
          <w:rFonts w:cs="Times New Roman"/>
          <w:noProof/>
          <w:sz w:val="20"/>
          <w:szCs w:val="20"/>
          <w:lang w:val="en-AU"/>
        </w:rPr>
        <w:t>(Pa) is an opportunistic Gram-negative pathogen that is prevalent in bloodstream, wound and respiratory infections and has a high propensity to become multidrug-resistant</w:t>
      </w:r>
      <w:r w:rsidR="00C60E8D">
        <w:rPr>
          <w:rFonts w:cs="Times New Roman"/>
          <w:noProof/>
          <w:sz w:val="20"/>
          <w:szCs w:val="20"/>
          <w:lang w:val="en-AU"/>
        </w:rPr>
        <w:t>.</w:t>
      </w:r>
      <w:r w:rsidR="009D7B85" w:rsidRPr="009D7B85">
        <w:rPr>
          <w:rFonts w:cs="Times New Roman"/>
          <w:noProof/>
          <w:sz w:val="20"/>
          <w:szCs w:val="20"/>
          <w:lang w:val="en-AU"/>
        </w:rPr>
        <w:t xml:space="preserve"> Our primary aim was to systematically evaluate synergistic killing and suppression of resistance of Pa by combinations of carbapenem plus aminoglycoside (AGS) antibiotics. Secondly,</w:t>
      </w:r>
      <w:r w:rsidR="009D34F6">
        <w:rPr>
          <w:rFonts w:cs="Times New Roman"/>
          <w:noProof/>
          <w:sz w:val="20"/>
          <w:szCs w:val="20"/>
          <w:lang w:val="en-AU"/>
        </w:rPr>
        <w:t xml:space="preserve"> we sought to propose optimis</w:t>
      </w:r>
      <w:r w:rsidR="009D7B85" w:rsidRPr="009D7B85">
        <w:rPr>
          <w:rFonts w:cs="Times New Roman"/>
          <w:noProof/>
          <w:sz w:val="20"/>
          <w:szCs w:val="20"/>
          <w:lang w:val="en-AU"/>
        </w:rPr>
        <w:t>ed combination dosage regimen</w:t>
      </w:r>
      <w:r w:rsidR="00880C27">
        <w:rPr>
          <w:rFonts w:cs="Times New Roman"/>
          <w:noProof/>
          <w:sz w:val="20"/>
          <w:szCs w:val="20"/>
          <w:lang w:val="en-AU"/>
        </w:rPr>
        <w:t>s</w:t>
      </w:r>
      <w:r w:rsidR="009D7B85" w:rsidRPr="009D7B85">
        <w:rPr>
          <w:rFonts w:cs="Times New Roman"/>
          <w:noProof/>
          <w:sz w:val="20"/>
          <w:szCs w:val="20"/>
          <w:lang w:val="en-AU"/>
        </w:rPr>
        <w:t xml:space="preserve"> </w:t>
      </w:r>
      <w:r w:rsidR="009D7B85" w:rsidRPr="009E4D71">
        <w:rPr>
          <w:rFonts w:cs="Times New Roman"/>
          <w:i/>
          <w:iCs/>
          <w:noProof/>
          <w:sz w:val="20"/>
          <w:szCs w:val="20"/>
          <w:lang w:val="en-AU"/>
        </w:rPr>
        <w:t>via</w:t>
      </w:r>
      <w:r w:rsidR="009D7B85" w:rsidRPr="009D7B85">
        <w:rPr>
          <w:rFonts w:cs="Times New Roman"/>
          <w:noProof/>
          <w:sz w:val="20"/>
          <w:szCs w:val="20"/>
          <w:lang w:val="en-AU"/>
        </w:rPr>
        <w:t xml:space="preserve"> Monte Carlo simulations (MCS) based on mechanism-based models (MBM) and human population pharmacokinetics (popPK). Thirdly, we aimed to prospectively evaluate the op</w:t>
      </w:r>
      <w:bookmarkStart w:id="0" w:name="_GoBack"/>
      <w:bookmarkEnd w:id="0"/>
      <w:r w:rsidR="009D7B85" w:rsidRPr="009D7B85">
        <w:rPr>
          <w:rFonts w:cs="Times New Roman"/>
          <w:noProof/>
          <w:sz w:val="20"/>
          <w:szCs w:val="20"/>
          <w:lang w:val="en-AU"/>
        </w:rPr>
        <w:t>timi</w:t>
      </w:r>
      <w:r w:rsidR="009D34F6">
        <w:rPr>
          <w:rFonts w:cs="Times New Roman"/>
          <w:noProof/>
          <w:sz w:val="20"/>
          <w:szCs w:val="20"/>
          <w:lang w:val="en-AU"/>
        </w:rPr>
        <w:t>s</w:t>
      </w:r>
      <w:r w:rsidR="009D7B85" w:rsidRPr="009D7B85">
        <w:rPr>
          <w:rFonts w:cs="Times New Roman"/>
          <w:noProof/>
          <w:sz w:val="20"/>
          <w:szCs w:val="20"/>
          <w:lang w:val="en-AU"/>
        </w:rPr>
        <w:t>ed combination regimen</w:t>
      </w:r>
      <w:r w:rsidR="00DE2737">
        <w:rPr>
          <w:rFonts w:cs="Times New Roman"/>
          <w:noProof/>
          <w:sz w:val="20"/>
          <w:szCs w:val="20"/>
          <w:lang w:val="en-AU"/>
        </w:rPr>
        <w:t>s</w:t>
      </w:r>
      <w:r w:rsidR="009D7B85" w:rsidRPr="009D7B85">
        <w:rPr>
          <w:rFonts w:cs="Times New Roman"/>
          <w:noProof/>
          <w:sz w:val="20"/>
          <w:szCs w:val="20"/>
          <w:lang w:val="en-AU"/>
        </w:rPr>
        <w:t xml:space="preserve"> in a murine thigh infection model.</w:t>
      </w:r>
      <w:r w:rsidR="00081DD6" w:rsidRPr="00CC22A3">
        <w:rPr>
          <w:rFonts w:cs="Times New Roman"/>
          <w:noProof/>
          <w:sz w:val="20"/>
          <w:szCs w:val="20"/>
          <w:lang w:val="en-AU"/>
        </w:rPr>
        <w:t xml:space="preserve"> </w:t>
      </w:r>
    </w:p>
    <w:p w14:paraId="0914E498" w14:textId="77777777" w:rsidR="00CC22A3" w:rsidRPr="00994FCA" w:rsidRDefault="00CC22A3" w:rsidP="00CC22A3">
      <w:pPr>
        <w:spacing w:after="0" w:line="240" w:lineRule="auto"/>
        <w:jc w:val="both"/>
        <w:rPr>
          <w:sz w:val="20"/>
          <w:szCs w:val="20"/>
          <w:lang w:val="en-AU"/>
        </w:rPr>
      </w:pPr>
    </w:p>
    <w:p w14:paraId="558B2073" w14:textId="5BCC28CF" w:rsidR="001D3B4A" w:rsidRPr="001D3B4A" w:rsidRDefault="00081DD6" w:rsidP="00880C27">
      <w:pPr>
        <w:spacing w:after="0" w:line="240" w:lineRule="auto"/>
        <w:jc w:val="both"/>
        <w:rPr>
          <w:rFonts w:cs="Times New Roman"/>
          <w:b/>
          <w:noProof/>
          <w:sz w:val="20"/>
          <w:szCs w:val="20"/>
          <w:lang w:val="en-AU"/>
        </w:rPr>
      </w:pPr>
      <w:r w:rsidRPr="00994FCA">
        <w:rPr>
          <w:rFonts w:cs="Times New Roman"/>
          <w:b/>
          <w:noProof/>
          <w:sz w:val="20"/>
          <w:szCs w:val="20"/>
          <w:lang w:val="en-AU"/>
        </w:rPr>
        <w:t>Methods</w:t>
      </w:r>
      <w:r w:rsidRPr="00994FCA">
        <w:rPr>
          <w:rFonts w:cs="Times New Roman"/>
          <w:noProof/>
          <w:sz w:val="20"/>
          <w:szCs w:val="20"/>
          <w:lang w:val="en-AU"/>
        </w:rPr>
        <w:t xml:space="preserve">: </w:t>
      </w:r>
      <w:r w:rsidR="00DE2737" w:rsidRPr="00DE2737">
        <w:rPr>
          <w:rFonts w:cs="Arial"/>
          <w:sz w:val="20"/>
          <w:szCs w:val="20"/>
          <w:shd w:val="clear" w:color="auto" w:fill="FFFFFF"/>
          <w:lang w:val="en-AU"/>
        </w:rPr>
        <w:t xml:space="preserve">We studied the carbapenem imipenem (IPM) in monotherapy and combination with the AGS tobramycin (TOB) or amikacin (AMK) vs. 3 carbapenem- and AGS-resistant clinical Pa isolates. A MBM was developed to characterize the time-course of bacterial load reduction and resistance. The importance sampling algorithm (pmethod=4) was used for simultaneous estimation of all PD parameters </w:t>
      </w:r>
      <w:r w:rsidR="00880C27">
        <w:rPr>
          <w:rFonts w:cs="Arial"/>
          <w:sz w:val="20"/>
          <w:szCs w:val="20"/>
          <w:shd w:val="clear" w:color="auto" w:fill="FFFFFF"/>
          <w:lang w:val="en-AU"/>
        </w:rPr>
        <w:t>us</w:t>
      </w:r>
      <w:r w:rsidR="00DE2737" w:rsidRPr="00DE2737">
        <w:rPr>
          <w:rFonts w:cs="Arial"/>
          <w:sz w:val="20"/>
          <w:szCs w:val="20"/>
          <w:shd w:val="clear" w:color="auto" w:fill="FFFFFF"/>
          <w:lang w:val="en-AU"/>
        </w:rPr>
        <w:t>in</w:t>
      </w:r>
      <w:r w:rsidR="00880C27">
        <w:rPr>
          <w:rFonts w:cs="Arial"/>
          <w:sz w:val="20"/>
          <w:szCs w:val="20"/>
          <w:shd w:val="clear" w:color="auto" w:fill="FFFFFF"/>
          <w:lang w:val="en-AU"/>
        </w:rPr>
        <w:t>g</w:t>
      </w:r>
      <w:r w:rsidR="00DE2737" w:rsidRPr="00DE2737">
        <w:rPr>
          <w:rFonts w:cs="Arial"/>
          <w:sz w:val="20"/>
          <w:szCs w:val="20"/>
          <w:shd w:val="clear" w:color="auto" w:fill="FFFFFF"/>
          <w:lang w:val="en-AU"/>
        </w:rPr>
        <w:t xml:space="preserve"> parallelized S-ADAPT (version 1.57) facilitated by SADAPT-TRAN. MCS were performed to optimi</w:t>
      </w:r>
      <w:r w:rsidR="009D34F6">
        <w:rPr>
          <w:rFonts w:cs="Arial"/>
          <w:sz w:val="20"/>
          <w:szCs w:val="20"/>
          <w:shd w:val="clear" w:color="auto" w:fill="FFFFFF"/>
          <w:lang w:val="en-AU"/>
        </w:rPr>
        <w:t>s</w:t>
      </w:r>
      <w:r w:rsidR="00DE2737" w:rsidRPr="00DE2737">
        <w:rPr>
          <w:rFonts w:cs="Arial"/>
          <w:sz w:val="20"/>
          <w:szCs w:val="20"/>
          <w:shd w:val="clear" w:color="auto" w:fill="FFFFFF"/>
          <w:lang w:val="en-AU"/>
        </w:rPr>
        <w:t>e clinically relevant combination dosage regimens against a double-resistant clinical Pa isolate (FADDI-PA088) which represents the 98</w:t>
      </w:r>
      <w:r w:rsidR="00DE2737" w:rsidRPr="00DE2737">
        <w:rPr>
          <w:rFonts w:cs="Arial"/>
          <w:sz w:val="20"/>
          <w:szCs w:val="20"/>
          <w:shd w:val="clear" w:color="auto" w:fill="FFFFFF"/>
          <w:vertAlign w:val="superscript"/>
          <w:lang w:val="en-AU"/>
        </w:rPr>
        <w:t>th</w:t>
      </w:r>
      <w:r w:rsidR="00DE2737" w:rsidRPr="00DE2737">
        <w:rPr>
          <w:rFonts w:cs="Arial"/>
          <w:sz w:val="20"/>
          <w:szCs w:val="20"/>
          <w:shd w:val="clear" w:color="auto" w:fill="FFFFFF"/>
          <w:lang w:val="en-AU"/>
        </w:rPr>
        <w:t xml:space="preserve"> percentile of the EUCAST (European Committee on Antimicrobial Susceptibility Testing) MIC distributions for IPM (MIC 16 mg/L) and TOB (MIC 32 mg/L). Inter-individual variability in PK and between curve variability of the PD parameters were incorporated in the MCS, which simulated 10,000 adult critically-ill patients with normal renal function. The optimi</w:t>
      </w:r>
      <w:r w:rsidR="009D34F6">
        <w:rPr>
          <w:rFonts w:cs="Arial"/>
          <w:sz w:val="20"/>
          <w:szCs w:val="20"/>
          <w:shd w:val="clear" w:color="auto" w:fill="FFFFFF"/>
          <w:lang w:val="en-AU"/>
        </w:rPr>
        <w:t>s</w:t>
      </w:r>
      <w:r w:rsidR="00DE2737" w:rsidRPr="00DE2737">
        <w:rPr>
          <w:rFonts w:cs="Arial"/>
          <w:sz w:val="20"/>
          <w:szCs w:val="20"/>
          <w:shd w:val="clear" w:color="auto" w:fill="FFFFFF"/>
          <w:lang w:val="en-AU"/>
        </w:rPr>
        <w:t>ed combination dosage regimen</w:t>
      </w:r>
      <w:r w:rsidR="00DE2737">
        <w:rPr>
          <w:rFonts w:cs="Arial"/>
          <w:sz w:val="20"/>
          <w:szCs w:val="20"/>
          <w:shd w:val="clear" w:color="auto" w:fill="FFFFFF"/>
          <w:lang w:val="en-AU"/>
        </w:rPr>
        <w:t>s</w:t>
      </w:r>
      <w:r w:rsidR="00DE2737" w:rsidRPr="00DE2737">
        <w:rPr>
          <w:rFonts w:cs="Arial"/>
          <w:sz w:val="20"/>
          <w:szCs w:val="20"/>
          <w:shd w:val="clear" w:color="auto" w:fill="FFFFFF"/>
          <w:lang w:val="en-AU"/>
        </w:rPr>
        <w:t xml:space="preserve"> of IPM + TOB w</w:t>
      </w:r>
      <w:r w:rsidR="00DE2737">
        <w:rPr>
          <w:rFonts w:cs="Arial"/>
          <w:sz w:val="20"/>
          <w:szCs w:val="20"/>
          <w:shd w:val="clear" w:color="auto" w:fill="FFFFFF"/>
          <w:lang w:val="en-AU"/>
        </w:rPr>
        <w:t>ere</w:t>
      </w:r>
      <w:r w:rsidR="00DE2737" w:rsidRPr="00DE2737">
        <w:rPr>
          <w:rFonts w:cs="Arial"/>
          <w:sz w:val="20"/>
          <w:szCs w:val="20"/>
          <w:shd w:val="clear" w:color="auto" w:fill="FFFFFF"/>
          <w:lang w:val="en-AU"/>
        </w:rPr>
        <w:t xml:space="preserve"> tested in a murine thigh infection model </w:t>
      </w:r>
      <w:r w:rsidR="00DE2737" w:rsidRPr="00DE2737">
        <w:rPr>
          <w:rFonts w:cs="Arial"/>
          <w:i/>
          <w:iCs/>
          <w:sz w:val="20"/>
          <w:szCs w:val="20"/>
          <w:shd w:val="clear" w:color="auto" w:fill="FFFFFF"/>
          <w:lang w:val="en-AU"/>
        </w:rPr>
        <w:t>via</w:t>
      </w:r>
      <w:r w:rsidR="00DE2737" w:rsidRPr="00DE2737">
        <w:rPr>
          <w:rFonts w:cs="Arial"/>
          <w:sz w:val="20"/>
          <w:szCs w:val="20"/>
          <w:shd w:val="clear" w:color="auto" w:fill="FFFFFF"/>
          <w:lang w:val="en-AU"/>
        </w:rPr>
        <w:t xml:space="preserve"> a humanized dosing scheme. Simulations were performed to identify IPM and TOB dosage regimens for mice that lead to similar plasma exposure profiles of both drugs as observed in humans. Thigh infections were established by injecting ~10</w:t>
      </w:r>
      <w:r w:rsidR="00DE2737" w:rsidRPr="00DE2737">
        <w:rPr>
          <w:rFonts w:cs="Arial"/>
          <w:sz w:val="20"/>
          <w:szCs w:val="20"/>
          <w:shd w:val="clear" w:color="auto" w:fill="FFFFFF"/>
          <w:vertAlign w:val="superscript"/>
          <w:lang w:val="en-AU"/>
        </w:rPr>
        <w:t>5</w:t>
      </w:r>
      <w:r w:rsidR="00DE2737" w:rsidRPr="00DE2737">
        <w:rPr>
          <w:rFonts w:cs="Arial"/>
          <w:sz w:val="20"/>
          <w:szCs w:val="20"/>
          <w:shd w:val="clear" w:color="auto" w:fill="FFFFFF"/>
          <w:lang w:val="en-AU"/>
        </w:rPr>
        <w:t xml:space="preserve"> CFU of FADDI-PA088 intramuscularly into each posterior thigh muscle of neutropenic mice. The humanized dose of IPM at </w:t>
      </w:r>
      <w:r w:rsidR="00DE2737">
        <w:rPr>
          <w:rFonts w:cs="Arial"/>
          <w:sz w:val="20"/>
          <w:szCs w:val="20"/>
          <w:shd w:val="clear" w:color="auto" w:fill="FFFFFF"/>
          <w:lang w:val="en-AU"/>
        </w:rPr>
        <w:t xml:space="preserve">60 or </w:t>
      </w:r>
      <w:r w:rsidR="00DE2737" w:rsidRPr="00DE2737">
        <w:rPr>
          <w:rFonts w:cs="Arial"/>
          <w:sz w:val="20"/>
          <w:szCs w:val="20"/>
          <w:shd w:val="clear" w:color="auto" w:fill="FFFFFF"/>
          <w:lang w:val="en-AU"/>
        </w:rPr>
        <w:t>77 mg/kg was administered subcutaneously (s.c.) every 2h and TOB at 73 mg/kg/day was fractionated in decreasing doses injected s.c. every 4h. Viable counts were determined in thigh homogenate at 0, 2, 6 and 24h. All animal experimentation was approved by the Monash Institute of Pharmaceutical Sciences animal ethics committee.</w:t>
      </w:r>
    </w:p>
    <w:p w14:paraId="58B47D51" w14:textId="472A3722" w:rsidR="00081DD6" w:rsidRDefault="00081DD6" w:rsidP="009D34F6">
      <w:pPr>
        <w:spacing w:after="0" w:line="240" w:lineRule="auto"/>
        <w:jc w:val="both"/>
        <w:rPr>
          <w:rFonts w:cs="Times New Roman"/>
          <w:noProof/>
          <w:sz w:val="20"/>
          <w:szCs w:val="20"/>
        </w:rPr>
      </w:pPr>
      <w:r w:rsidRPr="001D3B4A">
        <w:rPr>
          <w:rFonts w:cs="Times New Roman"/>
          <w:b/>
          <w:noProof/>
          <w:sz w:val="20"/>
          <w:szCs w:val="20"/>
          <w:lang w:val="en-AU"/>
        </w:rPr>
        <w:t>Results</w:t>
      </w:r>
      <w:r w:rsidRPr="001D3B4A">
        <w:rPr>
          <w:rFonts w:cs="Times New Roman"/>
          <w:noProof/>
          <w:sz w:val="20"/>
          <w:szCs w:val="20"/>
          <w:lang w:val="en-AU"/>
        </w:rPr>
        <w:t xml:space="preserve">: </w:t>
      </w:r>
      <w:r w:rsidR="001D3B4A" w:rsidRPr="001D3B4A">
        <w:rPr>
          <w:rFonts w:cs="Arial"/>
          <w:sz w:val="20"/>
          <w:szCs w:val="20"/>
          <w:shd w:val="clear" w:color="auto" w:fill="FFFFFF"/>
          <w:lang w:val="en-AU"/>
        </w:rPr>
        <w:t>Clinically relevant IPM + AGS concentrations achieved synergistic killing (&gt;2 log</w:t>
      </w:r>
      <w:r w:rsidR="001D3B4A" w:rsidRPr="001D3B4A">
        <w:rPr>
          <w:rFonts w:cs="Arial"/>
          <w:sz w:val="20"/>
          <w:szCs w:val="20"/>
          <w:shd w:val="clear" w:color="auto" w:fill="FFFFFF"/>
          <w:vertAlign w:val="subscript"/>
          <w:lang w:val="en-AU"/>
        </w:rPr>
        <w:t>10</w:t>
      </w:r>
      <w:r w:rsidR="001D3B4A" w:rsidRPr="001D3B4A">
        <w:rPr>
          <w:rFonts w:cs="Arial"/>
          <w:sz w:val="20"/>
          <w:szCs w:val="20"/>
          <w:shd w:val="clear" w:color="auto" w:fill="FFFFFF"/>
          <w:lang w:val="en-AU"/>
        </w:rPr>
        <w:t xml:space="preserve"> vs. the most active monotherapy at 24h and 48h) and suppression of resistance for all isolates (MIC: IPM 16 to 32 mg/L &amp; AGS 4 to 32 mg/L). </w:t>
      </w:r>
      <w:r w:rsidR="00DE2737" w:rsidRPr="00DE2737">
        <w:rPr>
          <w:rFonts w:cs="Arial"/>
          <w:sz w:val="20"/>
          <w:szCs w:val="20"/>
          <w:shd w:val="clear" w:color="auto" w:fill="FFFFFF"/>
          <w:lang w:val="en-AU"/>
        </w:rPr>
        <w:t>MBM indicated that AGS significantly enhanced the imipenem (IPM) target site concentrations, characterized by an up to 2.9-fold decrease in IPM concentrations required to achieve half-ma</w:t>
      </w:r>
      <w:r w:rsidR="009E4D71">
        <w:rPr>
          <w:rFonts w:cs="Arial"/>
          <w:sz w:val="20"/>
          <w:szCs w:val="20"/>
          <w:shd w:val="clear" w:color="auto" w:fill="FFFFFF"/>
          <w:lang w:val="en-AU"/>
        </w:rPr>
        <w:t xml:space="preserve">ximal bacterial load reduction. </w:t>
      </w:r>
      <w:r w:rsidR="009D34F6">
        <w:rPr>
          <w:rFonts w:cs="Arial"/>
          <w:sz w:val="20"/>
          <w:szCs w:val="20"/>
          <w:shd w:val="clear" w:color="auto" w:fill="FFFFFF"/>
          <w:lang w:val="en-AU"/>
        </w:rPr>
        <w:t>The optimis</w:t>
      </w:r>
      <w:r w:rsidR="00DE2737" w:rsidRPr="00DE2737">
        <w:rPr>
          <w:rFonts w:cs="Arial"/>
          <w:sz w:val="20"/>
          <w:szCs w:val="20"/>
          <w:shd w:val="clear" w:color="auto" w:fill="FFFFFF"/>
          <w:lang w:val="en-AU"/>
        </w:rPr>
        <w:t>ed combination regimens (IPM continuous infusion at 4g/day or 5g/day + tobramycin (TOB) 7 mg/kg q24h as 0.5h infusion) were predicted to achieve &gt;2 log</w:t>
      </w:r>
      <w:r w:rsidR="00DE2737" w:rsidRPr="00DE2737">
        <w:rPr>
          <w:rFonts w:cs="Arial"/>
          <w:sz w:val="20"/>
          <w:szCs w:val="20"/>
          <w:shd w:val="clear" w:color="auto" w:fill="FFFFFF"/>
          <w:vertAlign w:val="subscript"/>
          <w:lang w:val="en-AU"/>
        </w:rPr>
        <w:t>10</w:t>
      </w:r>
      <w:r w:rsidR="00DE2737" w:rsidRPr="00DE2737">
        <w:rPr>
          <w:rFonts w:cs="Arial"/>
          <w:sz w:val="20"/>
          <w:szCs w:val="20"/>
          <w:shd w:val="clear" w:color="auto" w:fill="FFFFFF"/>
          <w:lang w:val="en-AU"/>
        </w:rPr>
        <w:t xml:space="preserve"> killing and prevent regrowth at 24 and 48h in 8</w:t>
      </w:r>
      <w:r w:rsidR="00DE2737">
        <w:rPr>
          <w:rFonts w:cs="Arial"/>
          <w:sz w:val="20"/>
          <w:szCs w:val="20"/>
          <w:shd w:val="clear" w:color="auto" w:fill="FFFFFF"/>
          <w:lang w:val="en-AU"/>
        </w:rPr>
        <w:t>0.9</w:t>
      </w:r>
      <w:r w:rsidR="00DE2737" w:rsidRPr="00DE2737">
        <w:rPr>
          <w:rFonts w:cs="Arial"/>
          <w:sz w:val="20"/>
          <w:szCs w:val="20"/>
          <w:shd w:val="clear" w:color="auto" w:fill="FFFFFF"/>
          <w:lang w:val="en-AU"/>
        </w:rPr>
        <w:t xml:space="preserve"> to 90.3% of simulated critically-ill patients. The bacterial load in the mice immediately before the start of treatment (2h after inoculation) was 4.79±0.08 log</w:t>
      </w:r>
      <w:r w:rsidR="00DE2737" w:rsidRPr="00DE2737">
        <w:rPr>
          <w:rFonts w:cs="Arial"/>
          <w:sz w:val="20"/>
          <w:szCs w:val="20"/>
          <w:shd w:val="clear" w:color="auto" w:fill="FFFFFF"/>
          <w:vertAlign w:val="subscript"/>
          <w:lang w:val="en-AU"/>
        </w:rPr>
        <w:t>10</w:t>
      </w:r>
      <w:r w:rsidR="00DE2737" w:rsidRPr="00DE2737">
        <w:rPr>
          <w:rFonts w:cs="Arial"/>
          <w:sz w:val="20"/>
          <w:szCs w:val="20"/>
          <w:shd w:val="clear" w:color="auto" w:fill="FFFFFF"/>
          <w:lang w:val="en-AU"/>
        </w:rPr>
        <w:t xml:space="preserve"> CFU/thigh (mean±standard deviation) and was increased up to 8.11±0.11 log</w:t>
      </w:r>
      <w:r w:rsidR="00DE2737" w:rsidRPr="00DE2737">
        <w:rPr>
          <w:rFonts w:cs="Arial"/>
          <w:sz w:val="20"/>
          <w:szCs w:val="20"/>
          <w:shd w:val="clear" w:color="auto" w:fill="FFFFFF"/>
          <w:vertAlign w:val="subscript"/>
          <w:lang w:val="en-AU"/>
        </w:rPr>
        <w:t>10</w:t>
      </w:r>
      <w:r w:rsidR="00DE2737" w:rsidRPr="00DE2737">
        <w:rPr>
          <w:rFonts w:cs="Arial"/>
          <w:sz w:val="20"/>
          <w:szCs w:val="20"/>
          <w:shd w:val="clear" w:color="auto" w:fill="FFFFFF"/>
          <w:lang w:val="en-AU"/>
        </w:rPr>
        <w:t xml:space="preserve"> CFU/thigh at 24h in untreated control mice. IPM+TOB combinations (</w:t>
      </w:r>
      <w:r w:rsidR="00DE2737" w:rsidRPr="00DE2737">
        <w:rPr>
          <w:rFonts w:cs="Arial"/>
          <w:i/>
          <w:iCs/>
          <w:sz w:val="20"/>
          <w:szCs w:val="20"/>
          <w:shd w:val="clear" w:color="auto" w:fill="FFFFFF"/>
          <w:lang w:val="en-AU"/>
        </w:rPr>
        <w:t>i.e</w:t>
      </w:r>
      <w:r w:rsidR="00DE2737" w:rsidRPr="00DE2737">
        <w:rPr>
          <w:rFonts w:cs="Arial"/>
          <w:sz w:val="20"/>
          <w:szCs w:val="20"/>
          <w:shd w:val="clear" w:color="auto" w:fill="FFFFFF"/>
          <w:lang w:val="en-AU"/>
        </w:rPr>
        <w:t>. IPM 4g/day or 5g/day continuous infusion + TOB 7 mg/kg q24h, 0.5h infusion) provided a clear benefit with ≥2.51 log</w:t>
      </w:r>
      <w:r w:rsidR="00DE2737" w:rsidRPr="00DE2737">
        <w:rPr>
          <w:rFonts w:cs="Arial"/>
          <w:sz w:val="20"/>
          <w:szCs w:val="20"/>
          <w:shd w:val="clear" w:color="auto" w:fill="FFFFFF"/>
          <w:vertAlign w:val="subscript"/>
          <w:lang w:val="en-AU"/>
        </w:rPr>
        <w:t>10</w:t>
      </w:r>
      <w:r w:rsidR="00DE2737" w:rsidRPr="00DE2737">
        <w:rPr>
          <w:rFonts w:cs="Arial"/>
          <w:sz w:val="20"/>
          <w:szCs w:val="20"/>
          <w:shd w:val="clear" w:color="auto" w:fill="FFFFFF"/>
          <w:lang w:val="en-AU"/>
        </w:rPr>
        <w:t xml:space="preserve"> and ≥1.50 log</w:t>
      </w:r>
      <w:r w:rsidR="00DE2737" w:rsidRPr="00DE2737">
        <w:rPr>
          <w:rFonts w:cs="Arial"/>
          <w:sz w:val="20"/>
          <w:szCs w:val="20"/>
          <w:shd w:val="clear" w:color="auto" w:fill="FFFFFF"/>
          <w:vertAlign w:val="subscript"/>
          <w:lang w:val="en-AU"/>
        </w:rPr>
        <w:t>10</w:t>
      </w:r>
      <w:r w:rsidR="00DE2737" w:rsidRPr="00DE2737">
        <w:rPr>
          <w:rFonts w:cs="Arial"/>
          <w:sz w:val="20"/>
          <w:szCs w:val="20"/>
          <w:shd w:val="clear" w:color="auto" w:fill="FFFFFF"/>
          <w:lang w:val="en-AU"/>
        </w:rPr>
        <w:t xml:space="preserve"> CFU/thigh of bacterial load reduction compared to the most active monotherapy at 24h.</w:t>
      </w:r>
      <w:r w:rsidR="009D34F6">
        <w:rPr>
          <w:rFonts w:cs="Arial"/>
          <w:sz w:val="20"/>
          <w:szCs w:val="20"/>
          <w:shd w:val="clear" w:color="auto" w:fill="FFFFFF"/>
          <w:lang w:val="en-AU"/>
        </w:rPr>
        <w:t xml:space="preserve"> The MBM was translated well to describe the time-course of bacterial load reduction and resistance </w:t>
      </w:r>
      <w:r w:rsidR="009D34F6" w:rsidRPr="009D34F6">
        <w:rPr>
          <w:rFonts w:cs="Arial"/>
          <w:i/>
          <w:iCs/>
          <w:sz w:val="20"/>
          <w:szCs w:val="20"/>
          <w:shd w:val="clear" w:color="auto" w:fill="FFFFFF"/>
          <w:lang w:val="en-AU"/>
        </w:rPr>
        <w:t>in-vivo</w:t>
      </w:r>
      <w:r w:rsidR="009D34F6">
        <w:rPr>
          <w:rFonts w:cs="Arial"/>
          <w:sz w:val="20"/>
          <w:szCs w:val="20"/>
          <w:shd w:val="clear" w:color="auto" w:fill="FFFFFF"/>
          <w:lang w:val="en-AU"/>
        </w:rPr>
        <w:t>.</w:t>
      </w:r>
    </w:p>
    <w:p w14:paraId="67A30923" w14:textId="2EBD24AB" w:rsidR="00081DD6" w:rsidRPr="001D3B4A" w:rsidRDefault="00701924" w:rsidP="00DE2737">
      <w:pPr>
        <w:spacing w:after="0" w:line="240" w:lineRule="auto"/>
        <w:jc w:val="both"/>
        <w:rPr>
          <w:rFonts w:cs="Times New Roman"/>
          <w:noProof/>
          <w:sz w:val="20"/>
          <w:szCs w:val="20"/>
          <w:lang w:val="en-AU"/>
        </w:rPr>
      </w:pPr>
      <w:r w:rsidRPr="00701924">
        <w:rPr>
          <w:rFonts w:cs="Times New Roman"/>
          <w:b/>
          <w:noProof/>
          <w:sz w:val="20"/>
          <w:szCs w:val="20"/>
        </w:rPr>
        <w:t>Conclusion</w:t>
      </w:r>
      <w:r w:rsidR="00081DD6" w:rsidRPr="00701924">
        <w:rPr>
          <w:rFonts w:cs="Times New Roman"/>
          <w:noProof/>
          <w:sz w:val="20"/>
          <w:szCs w:val="20"/>
        </w:rPr>
        <w:t xml:space="preserve">: </w:t>
      </w:r>
      <w:r w:rsidR="00DE2737">
        <w:rPr>
          <w:noProof/>
          <w:sz w:val="20"/>
          <w:szCs w:val="20"/>
        </w:rPr>
        <w:t xml:space="preserve">The </w:t>
      </w:r>
      <w:r w:rsidR="00DE2737" w:rsidRPr="005A045C">
        <w:rPr>
          <w:sz w:val="20"/>
          <w:szCs w:val="20"/>
          <w:shd w:val="clear" w:color="auto" w:fill="FFFFFF"/>
        </w:rPr>
        <w:t>IPM plus TOB combination regimen</w:t>
      </w:r>
      <w:r w:rsidR="00DE2737">
        <w:rPr>
          <w:sz w:val="20"/>
          <w:szCs w:val="20"/>
          <w:shd w:val="clear" w:color="auto" w:fill="FFFFFF"/>
        </w:rPr>
        <w:t>s</w:t>
      </w:r>
      <w:r w:rsidR="00DE2737" w:rsidRPr="005A045C">
        <w:rPr>
          <w:sz w:val="20"/>
          <w:szCs w:val="20"/>
          <w:shd w:val="clear" w:color="auto" w:fill="FFFFFF"/>
        </w:rPr>
        <w:t>, which w</w:t>
      </w:r>
      <w:r w:rsidR="00DE2737">
        <w:rPr>
          <w:sz w:val="20"/>
          <w:szCs w:val="20"/>
          <w:shd w:val="clear" w:color="auto" w:fill="FFFFFF"/>
        </w:rPr>
        <w:t>ere</w:t>
      </w:r>
      <w:r w:rsidR="00DE2737" w:rsidRPr="005A045C">
        <w:rPr>
          <w:sz w:val="20"/>
          <w:szCs w:val="20"/>
          <w:shd w:val="clear" w:color="auto" w:fill="FFFFFF"/>
        </w:rPr>
        <w:t xml:space="preserve"> rationally optimi</w:t>
      </w:r>
      <w:r w:rsidR="00DE2737">
        <w:rPr>
          <w:sz w:val="20"/>
          <w:szCs w:val="20"/>
          <w:shd w:val="clear" w:color="auto" w:fill="FFFFFF"/>
        </w:rPr>
        <w:t>s</w:t>
      </w:r>
      <w:r w:rsidR="00DE2737" w:rsidRPr="005A045C">
        <w:rPr>
          <w:sz w:val="20"/>
          <w:szCs w:val="20"/>
          <w:shd w:val="clear" w:color="auto" w:fill="FFFFFF"/>
        </w:rPr>
        <w:t xml:space="preserve">ed </w:t>
      </w:r>
      <w:r w:rsidR="00DE2737" w:rsidRPr="005A045C">
        <w:rPr>
          <w:i/>
          <w:iCs/>
          <w:sz w:val="20"/>
          <w:szCs w:val="20"/>
          <w:shd w:val="clear" w:color="auto" w:fill="FFFFFF"/>
        </w:rPr>
        <w:t>via</w:t>
      </w:r>
      <w:r w:rsidR="00DE2737" w:rsidRPr="005A045C">
        <w:rPr>
          <w:sz w:val="20"/>
          <w:szCs w:val="20"/>
          <w:shd w:val="clear" w:color="auto" w:fill="FFFFFF"/>
        </w:rPr>
        <w:t xml:space="preserve"> a translational mode</w:t>
      </w:r>
      <w:r w:rsidR="00DE2737">
        <w:rPr>
          <w:sz w:val="20"/>
          <w:szCs w:val="20"/>
          <w:shd w:val="clear" w:color="auto" w:fill="FFFFFF"/>
        </w:rPr>
        <w:t>l</w:t>
      </w:r>
      <w:r w:rsidR="00DE2737" w:rsidRPr="005A045C">
        <w:rPr>
          <w:sz w:val="20"/>
          <w:szCs w:val="20"/>
          <w:shd w:val="clear" w:color="auto" w:fill="FFFFFF"/>
        </w:rPr>
        <w:t xml:space="preserve">ling approach, demonstrated a synergistic effect </w:t>
      </w:r>
      <w:r w:rsidR="009D34F6">
        <w:rPr>
          <w:i/>
          <w:iCs/>
          <w:sz w:val="20"/>
          <w:szCs w:val="20"/>
          <w:shd w:val="clear" w:color="auto" w:fill="FFFFFF"/>
        </w:rPr>
        <w:t>in-</w:t>
      </w:r>
      <w:r w:rsidR="00DE2737" w:rsidRPr="005A045C">
        <w:rPr>
          <w:i/>
          <w:iCs/>
          <w:sz w:val="20"/>
          <w:szCs w:val="20"/>
          <w:shd w:val="clear" w:color="auto" w:fill="FFFFFF"/>
        </w:rPr>
        <w:t>vivo</w:t>
      </w:r>
      <w:r w:rsidR="00DE2737" w:rsidRPr="005A045C">
        <w:rPr>
          <w:sz w:val="20"/>
          <w:szCs w:val="20"/>
          <w:shd w:val="clear" w:color="auto" w:fill="FFFFFF"/>
        </w:rPr>
        <w:t xml:space="preserve"> against a double-resistant clinical Pa isolate and </w:t>
      </w:r>
      <w:r w:rsidR="00DE2737">
        <w:rPr>
          <w:sz w:val="20"/>
          <w:szCs w:val="20"/>
          <w:shd w:val="clear" w:color="auto" w:fill="FFFFFF"/>
        </w:rPr>
        <w:t>are</w:t>
      </w:r>
      <w:r w:rsidR="00DE2737" w:rsidRPr="005A045C">
        <w:rPr>
          <w:sz w:val="20"/>
          <w:szCs w:val="20"/>
          <w:shd w:val="clear" w:color="auto" w:fill="FFFFFF"/>
        </w:rPr>
        <w:t xml:space="preserve"> therefore highly promising</w:t>
      </w:r>
      <w:r w:rsidR="009D34F6">
        <w:rPr>
          <w:sz w:val="20"/>
          <w:szCs w:val="20"/>
          <w:shd w:val="clear" w:color="auto" w:fill="FFFFFF"/>
        </w:rPr>
        <w:t>.</w:t>
      </w:r>
    </w:p>
    <w:p w14:paraId="74A28231" w14:textId="77777777" w:rsidR="00701924" w:rsidRPr="009D34F6" w:rsidRDefault="00701924" w:rsidP="00701924">
      <w:pPr>
        <w:spacing w:after="0" w:line="240" w:lineRule="auto"/>
        <w:rPr>
          <w:rFonts w:cs="Times New Roman"/>
          <w:b/>
          <w:noProof/>
          <w:sz w:val="20"/>
          <w:szCs w:val="20"/>
        </w:rPr>
      </w:pPr>
    </w:p>
    <w:p w14:paraId="19698305" w14:textId="52623905" w:rsidR="00081DD6" w:rsidRPr="005613CC" w:rsidRDefault="00701924" w:rsidP="00E86C51">
      <w:pPr>
        <w:pStyle w:val="ListParagraph"/>
        <w:tabs>
          <w:tab w:val="left" w:pos="3790"/>
        </w:tabs>
        <w:spacing w:after="0" w:line="240" w:lineRule="auto"/>
        <w:ind w:left="284"/>
        <w:rPr>
          <w:rFonts w:cs="Times New Roman"/>
          <w:noProof/>
          <w:sz w:val="20"/>
          <w:szCs w:val="20"/>
        </w:rPr>
      </w:pPr>
      <w:r w:rsidRPr="005613CC">
        <w:rPr>
          <w:rFonts w:cs="Times New Roman"/>
          <w:noProof/>
          <w:sz w:val="20"/>
          <w:szCs w:val="20"/>
        </w:rPr>
        <w:tab/>
      </w:r>
    </w:p>
    <w:sectPr w:rsidR="00081DD6" w:rsidRPr="005613CC" w:rsidSect="00044881">
      <w:pgSz w:w="12240" w:h="15840"/>
      <w:pgMar w:top="1134" w:right="1276" w:bottom="212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5155"/>
    <w:multiLevelType w:val="hybridMultilevel"/>
    <w:tmpl w:val="D8864F98"/>
    <w:lvl w:ilvl="0" w:tplc="120212AA">
      <w:start w:val="1"/>
      <w:numFmt w:val="bullet"/>
      <w:lvlText w:val="–"/>
      <w:lvlJc w:val="left"/>
      <w:pPr>
        <w:tabs>
          <w:tab w:val="num" w:pos="720"/>
        </w:tabs>
        <w:ind w:left="720" w:hanging="360"/>
      </w:pPr>
      <w:rPr>
        <w:rFonts w:ascii="Times New Roman" w:hAnsi="Times New Roman" w:hint="default"/>
      </w:rPr>
    </w:lvl>
    <w:lvl w:ilvl="1" w:tplc="444CA894">
      <w:start w:val="1"/>
      <w:numFmt w:val="bullet"/>
      <w:lvlText w:val="–"/>
      <w:lvlJc w:val="left"/>
      <w:pPr>
        <w:tabs>
          <w:tab w:val="num" w:pos="1440"/>
        </w:tabs>
        <w:ind w:left="1440" w:hanging="360"/>
      </w:pPr>
      <w:rPr>
        <w:rFonts w:ascii="Times New Roman" w:hAnsi="Times New Roman" w:hint="default"/>
      </w:rPr>
    </w:lvl>
    <w:lvl w:ilvl="2" w:tplc="B010D120" w:tentative="1">
      <w:start w:val="1"/>
      <w:numFmt w:val="bullet"/>
      <w:lvlText w:val="–"/>
      <w:lvlJc w:val="left"/>
      <w:pPr>
        <w:tabs>
          <w:tab w:val="num" w:pos="2160"/>
        </w:tabs>
        <w:ind w:left="2160" w:hanging="360"/>
      </w:pPr>
      <w:rPr>
        <w:rFonts w:ascii="Times New Roman" w:hAnsi="Times New Roman" w:hint="default"/>
      </w:rPr>
    </w:lvl>
    <w:lvl w:ilvl="3" w:tplc="2F620758" w:tentative="1">
      <w:start w:val="1"/>
      <w:numFmt w:val="bullet"/>
      <w:lvlText w:val="–"/>
      <w:lvlJc w:val="left"/>
      <w:pPr>
        <w:tabs>
          <w:tab w:val="num" w:pos="2880"/>
        </w:tabs>
        <w:ind w:left="2880" w:hanging="360"/>
      </w:pPr>
      <w:rPr>
        <w:rFonts w:ascii="Times New Roman" w:hAnsi="Times New Roman" w:hint="default"/>
      </w:rPr>
    </w:lvl>
    <w:lvl w:ilvl="4" w:tplc="267CADF0" w:tentative="1">
      <w:start w:val="1"/>
      <w:numFmt w:val="bullet"/>
      <w:lvlText w:val="–"/>
      <w:lvlJc w:val="left"/>
      <w:pPr>
        <w:tabs>
          <w:tab w:val="num" w:pos="3600"/>
        </w:tabs>
        <w:ind w:left="3600" w:hanging="360"/>
      </w:pPr>
      <w:rPr>
        <w:rFonts w:ascii="Times New Roman" w:hAnsi="Times New Roman" w:hint="default"/>
      </w:rPr>
    </w:lvl>
    <w:lvl w:ilvl="5" w:tplc="542A5AB2" w:tentative="1">
      <w:start w:val="1"/>
      <w:numFmt w:val="bullet"/>
      <w:lvlText w:val="–"/>
      <w:lvlJc w:val="left"/>
      <w:pPr>
        <w:tabs>
          <w:tab w:val="num" w:pos="4320"/>
        </w:tabs>
        <w:ind w:left="4320" w:hanging="360"/>
      </w:pPr>
      <w:rPr>
        <w:rFonts w:ascii="Times New Roman" w:hAnsi="Times New Roman" w:hint="default"/>
      </w:rPr>
    </w:lvl>
    <w:lvl w:ilvl="6" w:tplc="F27E681A" w:tentative="1">
      <w:start w:val="1"/>
      <w:numFmt w:val="bullet"/>
      <w:lvlText w:val="–"/>
      <w:lvlJc w:val="left"/>
      <w:pPr>
        <w:tabs>
          <w:tab w:val="num" w:pos="5040"/>
        </w:tabs>
        <w:ind w:left="5040" w:hanging="360"/>
      </w:pPr>
      <w:rPr>
        <w:rFonts w:ascii="Times New Roman" w:hAnsi="Times New Roman" w:hint="default"/>
      </w:rPr>
    </w:lvl>
    <w:lvl w:ilvl="7" w:tplc="0D8ACEB6" w:tentative="1">
      <w:start w:val="1"/>
      <w:numFmt w:val="bullet"/>
      <w:lvlText w:val="–"/>
      <w:lvlJc w:val="left"/>
      <w:pPr>
        <w:tabs>
          <w:tab w:val="num" w:pos="5760"/>
        </w:tabs>
        <w:ind w:left="5760" w:hanging="360"/>
      </w:pPr>
      <w:rPr>
        <w:rFonts w:ascii="Times New Roman" w:hAnsi="Times New Roman" w:hint="default"/>
      </w:rPr>
    </w:lvl>
    <w:lvl w:ilvl="8" w:tplc="DA6260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BE1CA5"/>
    <w:multiLevelType w:val="hybridMultilevel"/>
    <w:tmpl w:val="6B10D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0psrza9v9twlewa525ts9c2wxvprwfrpxx&quot;&gt;pharmacometric_tmax-Converted&lt;record-ids&gt;&lt;item&gt;6218&lt;/item&gt;&lt;/record-ids&gt;&lt;/item&gt;&lt;/Libraries&gt;"/>
  </w:docVars>
  <w:rsids>
    <w:rsidRoot w:val="008C3552"/>
    <w:rsid w:val="00014069"/>
    <w:rsid w:val="000210D2"/>
    <w:rsid w:val="00035B3F"/>
    <w:rsid w:val="00044881"/>
    <w:rsid w:val="00081DD6"/>
    <w:rsid w:val="000C0948"/>
    <w:rsid w:val="001107F3"/>
    <w:rsid w:val="001114B7"/>
    <w:rsid w:val="001124EB"/>
    <w:rsid w:val="00113285"/>
    <w:rsid w:val="00187C55"/>
    <w:rsid w:val="001B6A35"/>
    <w:rsid w:val="001D3B4A"/>
    <w:rsid w:val="001E4F9B"/>
    <w:rsid w:val="00256109"/>
    <w:rsid w:val="00257CAD"/>
    <w:rsid w:val="00257F36"/>
    <w:rsid w:val="002B2786"/>
    <w:rsid w:val="00311706"/>
    <w:rsid w:val="00312535"/>
    <w:rsid w:val="00345C7B"/>
    <w:rsid w:val="00356C2D"/>
    <w:rsid w:val="003741C0"/>
    <w:rsid w:val="003D165F"/>
    <w:rsid w:val="00420000"/>
    <w:rsid w:val="004501C4"/>
    <w:rsid w:val="00530B72"/>
    <w:rsid w:val="005613CC"/>
    <w:rsid w:val="005B7FAD"/>
    <w:rsid w:val="005F7B1F"/>
    <w:rsid w:val="00630AF4"/>
    <w:rsid w:val="006A10F9"/>
    <w:rsid w:val="006A4BC7"/>
    <w:rsid w:val="006E468E"/>
    <w:rsid w:val="00701924"/>
    <w:rsid w:val="00724451"/>
    <w:rsid w:val="00724F15"/>
    <w:rsid w:val="00784FD6"/>
    <w:rsid w:val="00786AA9"/>
    <w:rsid w:val="007B6462"/>
    <w:rsid w:val="007D024D"/>
    <w:rsid w:val="007E7B11"/>
    <w:rsid w:val="00834443"/>
    <w:rsid w:val="00851E0F"/>
    <w:rsid w:val="00870948"/>
    <w:rsid w:val="00873CE3"/>
    <w:rsid w:val="00880C27"/>
    <w:rsid w:val="008C3552"/>
    <w:rsid w:val="008C45E2"/>
    <w:rsid w:val="00940727"/>
    <w:rsid w:val="0096769C"/>
    <w:rsid w:val="00994FCA"/>
    <w:rsid w:val="009D34F6"/>
    <w:rsid w:val="009D7B85"/>
    <w:rsid w:val="009E1919"/>
    <w:rsid w:val="009E4D71"/>
    <w:rsid w:val="00A5491F"/>
    <w:rsid w:val="00A8388F"/>
    <w:rsid w:val="00A9373B"/>
    <w:rsid w:val="00AA1B52"/>
    <w:rsid w:val="00B31E11"/>
    <w:rsid w:val="00B56D9C"/>
    <w:rsid w:val="00B70CC6"/>
    <w:rsid w:val="00BA0D3F"/>
    <w:rsid w:val="00BF249B"/>
    <w:rsid w:val="00C31F46"/>
    <w:rsid w:val="00C45214"/>
    <w:rsid w:val="00C5464B"/>
    <w:rsid w:val="00C60E8D"/>
    <w:rsid w:val="00C726FC"/>
    <w:rsid w:val="00CC22A3"/>
    <w:rsid w:val="00CE194C"/>
    <w:rsid w:val="00D474C1"/>
    <w:rsid w:val="00D81B68"/>
    <w:rsid w:val="00DB0B89"/>
    <w:rsid w:val="00DE2737"/>
    <w:rsid w:val="00E27B0F"/>
    <w:rsid w:val="00E36340"/>
    <w:rsid w:val="00E550DF"/>
    <w:rsid w:val="00E86C51"/>
    <w:rsid w:val="00EB6B8A"/>
    <w:rsid w:val="00F00E5B"/>
    <w:rsid w:val="00F1319D"/>
    <w:rsid w:val="00F13C40"/>
    <w:rsid w:val="00F27A79"/>
    <w:rsid w:val="00F307A5"/>
    <w:rsid w:val="00F349F7"/>
    <w:rsid w:val="00F53C7F"/>
    <w:rsid w:val="00F830EC"/>
    <w:rsid w:val="00FB5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335B"/>
  <w15:docId w15:val="{94BF7895-3CFC-4ABC-B881-6357F33D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D6"/>
    <w:rPr>
      <w:rFonts w:ascii="Tahoma" w:hAnsi="Tahoma" w:cs="Tahoma"/>
      <w:sz w:val="16"/>
      <w:szCs w:val="16"/>
    </w:rPr>
  </w:style>
  <w:style w:type="character" w:styleId="CommentReference">
    <w:name w:val="annotation reference"/>
    <w:basedOn w:val="DefaultParagraphFont"/>
    <w:uiPriority w:val="99"/>
    <w:semiHidden/>
    <w:unhideWhenUsed/>
    <w:rsid w:val="00630AF4"/>
    <w:rPr>
      <w:sz w:val="16"/>
      <w:szCs w:val="16"/>
    </w:rPr>
  </w:style>
  <w:style w:type="paragraph" w:styleId="CommentText">
    <w:name w:val="annotation text"/>
    <w:basedOn w:val="Normal"/>
    <w:link w:val="CommentTextChar"/>
    <w:uiPriority w:val="99"/>
    <w:semiHidden/>
    <w:unhideWhenUsed/>
    <w:rsid w:val="00630AF4"/>
    <w:pPr>
      <w:spacing w:line="240" w:lineRule="auto"/>
    </w:pPr>
    <w:rPr>
      <w:sz w:val="20"/>
      <w:szCs w:val="20"/>
    </w:rPr>
  </w:style>
  <w:style w:type="character" w:customStyle="1" w:styleId="CommentTextChar">
    <w:name w:val="Comment Text Char"/>
    <w:basedOn w:val="DefaultParagraphFont"/>
    <w:link w:val="CommentText"/>
    <w:uiPriority w:val="99"/>
    <w:semiHidden/>
    <w:rsid w:val="00630AF4"/>
    <w:rPr>
      <w:sz w:val="20"/>
      <w:szCs w:val="20"/>
    </w:rPr>
  </w:style>
  <w:style w:type="paragraph" w:styleId="CommentSubject">
    <w:name w:val="annotation subject"/>
    <w:basedOn w:val="CommentText"/>
    <w:next w:val="CommentText"/>
    <w:link w:val="CommentSubjectChar"/>
    <w:uiPriority w:val="99"/>
    <w:semiHidden/>
    <w:unhideWhenUsed/>
    <w:rsid w:val="00630AF4"/>
    <w:rPr>
      <w:b/>
      <w:bCs/>
    </w:rPr>
  </w:style>
  <w:style w:type="character" w:customStyle="1" w:styleId="CommentSubjectChar">
    <w:name w:val="Comment Subject Char"/>
    <w:basedOn w:val="CommentTextChar"/>
    <w:link w:val="CommentSubject"/>
    <w:uiPriority w:val="99"/>
    <w:semiHidden/>
    <w:rsid w:val="00630AF4"/>
    <w:rPr>
      <w:b/>
      <w:bCs/>
      <w:sz w:val="20"/>
      <w:szCs w:val="20"/>
    </w:rPr>
  </w:style>
  <w:style w:type="paragraph" w:customStyle="1" w:styleId="EndNoteBibliographyTitle">
    <w:name w:val="EndNote Bibliography Title"/>
    <w:basedOn w:val="Normal"/>
    <w:link w:val="EndNoteBibliographyTitleChar"/>
    <w:rsid w:val="00A8388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8388F"/>
    <w:rPr>
      <w:rFonts w:ascii="Calibri" w:hAnsi="Calibri"/>
      <w:noProof/>
    </w:rPr>
  </w:style>
  <w:style w:type="paragraph" w:customStyle="1" w:styleId="EndNoteBibliography">
    <w:name w:val="EndNote Bibliography"/>
    <w:basedOn w:val="Normal"/>
    <w:link w:val="EndNoteBibliographyChar"/>
    <w:rsid w:val="00A8388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8388F"/>
    <w:rPr>
      <w:rFonts w:ascii="Calibri" w:hAnsi="Calibri"/>
      <w:noProof/>
    </w:rPr>
  </w:style>
  <w:style w:type="paragraph" w:styleId="Caption">
    <w:name w:val="caption"/>
    <w:basedOn w:val="Normal"/>
    <w:next w:val="Normal"/>
    <w:uiPriority w:val="35"/>
    <w:unhideWhenUsed/>
    <w:qFormat/>
    <w:rsid w:val="00A8388F"/>
    <w:pPr>
      <w:spacing w:line="240" w:lineRule="auto"/>
    </w:pPr>
    <w:rPr>
      <w:i/>
      <w:iCs/>
      <w:color w:val="1F497D" w:themeColor="text2"/>
      <w:sz w:val="18"/>
      <w:szCs w:val="18"/>
    </w:rPr>
  </w:style>
  <w:style w:type="paragraph" w:styleId="ListParagraph">
    <w:name w:val="List Paragraph"/>
    <w:basedOn w:val="Normal"/>
    <w:uiPriority w:val="34"/>
    <w:qFormat/>
    <w:rsid w:val="005613CC"/>
    <w:pPr>
      <w:ind w:left="720"/>
      <w:contextualSpacing/>
    </w:pPr>
  </w:style>
  <w:style w:type="paragraph" w:styleId="NoSpacing">
    <w:name w:val="No Spacing"/>
    <w:uiPriority w:val="1"/>
    <w:qFormat/>
    <w:rsid w:val="00CC22A3"/>
    <w:pPr>
      <w:spacing w:after="0" w:line="240" w:lineRule="auto"/>
    </w:pPr>
  </w:style>
  <w:style w:type="paragraph" w:styleId="NormalWeb">
    <w:name w:val="Normal (Web)"/>
    <w:basedOn w:val="Normal"/>
    <w:uiPriority w:val="99"/>
    <w:semiHidden/>
    <w:unhideWhenUsed/>
    <w:rsid w:val="001D3B4A"/>
    <w:pPr>
      <w:spacing w:before="100" w:beforeAutospacing="1" w:after="100" w:afterAutospacing="1" w:line="240" w:lineRule="auto"/>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5989">
      <w:bodyDiv w:val="1"/>
      <w:marLeft w:val="0"/>
      <w:marRight w:val="0"/>
      <w:marTop w:val="0"/>
      <w:marBottom w:val="0"/>
      <w:divBdr>
        <w:top w:val="none" w:sz="0" w:space="0" w:color="auto"/>
        <w:left w:val="none" w:sz="0" w:space="0" w:color="auto"/>
        <w:bottom w:val="none" w:sz="0" w:space="0" w:color="auto"/>
        <w:right w:val="none" w:sz="0" w:space="0" w:color="auto"/>
      </w:divBdr>
      <w:divsChild>
        <w:div w:id="1964774216">
          <w:marLeft w:val="446"/>
          <w:marRight w:val="0"/>
          <w:marTop w:val="0"/>
          <w:marBottom w:val="148"/>
          <w:divBdr>
            <w:top w:val="none" w:sz="0" w:space="0" w:color="auto"/>
            <w:left w:val="none" w:sz="0" w:space="0" w:color="auto"/>
            <w:bottom w:val="none" w:sz="0" w:space="0" w:color="auto"/>
            <w:right w:val="none" w:sz="0" w:space="0" w:color="auto"/>
          </w:divBdr>
        </w:div>
      </w:divsChild>
    </w:div>
    <w:div w:id="844516722">
      <w:bodyDiv w:val="1"/>
      <w:marLeft w:val="0"/>
      <w:marRight w:val="0"/>
      <w:marTop w:val="0"/>
      <w:marBottom w:val="0"/>
      <w:divBdr>
        <w:top w:val="none" w:sz="0" w:space="0" w:color="auto"/>
        <w:left w:val="none" w:sz="0" w:space="0" w:color="auto"/>
        <w:bottom w:val="none" w:sz="0" w:space="0" w:color="auto"/>
        <w:right w:val="none" w:sz="0" w:space="0" w:color="auto"/>
      </w:divBdr>
    </w:div>
    <w:div w:id="1631132550">
      <w:bodyDiv w:val="1"/>
      <w:marLeft w:val="0"/>
      <w:marRight w:val="0"/>
      <w:marTop w:val="0"/>
      <w:marBottom w:val="0"/>
      <w:divBdr>
        <w:top w:val="none" w:sz="0" w:space="0" w:color="auto"/>
        <w:left w:val="none" w:sz="0" w:space="0" w:color="auto"/>
        <w:bottom w:val="none" w:sz="0" w:space="0" w:color="auto"/>
        <w:right w:val="none" w:sz="0" w:space="0" w:color="auto"/>
      </w:divBdr>
      <w:divsChild>
        <w:div w:id="918293912">
          <w:marLeft w:val="1541"/>
          <w:marRight w:val="0"/>
          <w:marTop w:val="0"/>
          <w:marBottom w:val="120"/>
          <w:divBdr>
            <w:top w:val="none" w:sz="0" w:space="0" w:color="auto"/>
            <w:left w:val="none" w:sz="0" w:space="0" w:color="auto"/>
            <w:bottom w:val="none" w:sz="0" w:space="0" w:color="auto"/>
            <w:right w:val="none" w:sz="0" w:space="0" w:color="auto"/>
          </w:divBdr>
        </w:div>
        <w:div w:id="1368068763">
          <w:marLeft w:val="1541"/>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B823-8C6E-40D1-9512-23120842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corrigb</dc:creator>
  <cp:lastModifiedBy>Rajbharan Yadav</cp:lastModifiedBy>
  <cp:revision>5</cp:revision>
  <dcterms:created xsi:type="dcterms:W3CDTF">2017-01-19T01:20:00Z</dcterms:created>
  <dcterms:modified xsi:type="dcterms:W3CDTF">2017-01-19T01:27:00Z</dcterms:modified>
</cp:coreProperties>
</file>